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5E45B">
      <w:pPr>
        <w:tabs>
          <w:tab w:val="left" w:pos="5265"/>
        </w:tabs>
        <w:autoSpaceDE w:val="0"/>
        <w:autoSpaceDN w:val="0"/>
        <w:adjustRightInd w:val="0"/>
        <w:spacing w:after="0" w:line="240" w:lineRule="auto"/>
        <w:rPr>
          <w:rFonts w:ascii="Arial" w:hAnsi="Arial" w:eastAsia="MS Mincho" w:cs="Arial"/>
          <w:b/>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HONORABLE ASAMBLEA.</w:t>
      </w:r>
    </w:p>
    <w:p w14:paraId="614CBF95">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016B77D">
      <w:pPr>
        <w:pStyle w:val="9"/>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A la Comisión de Puntos Constitucionales de la Cámara de Diputados, se turnó para su estudio y la elaboración del dictamen correspondiente, la iniciativa con proyecto de Decreto que propone la modificación del Artículo 123 de la Constitución Política de los Estados Unidos Mexicanos, en materia de salarios, presentada por el licenciado Andrés Manuel López Obrador, Presidente de la República.</w:t>
      </w:r>
    </w:p>
    <w:p w14:paraId="7FF2C985">
      <w:pPr>
        <w:pStyle w:val="9"/>
        <w:jc w:val="both"/>
        <w:rPr>
          <w:rFonts w:ascii="Arial" w:hAnsi="Arial" w:eastAsia="MS Mincho" w:cs="Arial"/>
          <w:color w:val="000000" w:themeColor="text1"/>
          <w:sz w:val="26"/>
          <w:szCs w:val="26"/>
          <w:lang w:eastAsia="es-ES"/>
          <w14:textFill>
            <w14:solidFill>
              <w14:schemeClr w14:val="tx1"/>
            </w14:solidFill>
          </w14:textFill>
        </w:rPr>
      </w:pPr>
    </w:p>
    <w:p w14:paraId="7CD38A56">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Para ello, las y los Diputados integrantes de esta Comisión, procedimos al estudio de la iniciativa materia del presente dictamen, respecto de la cual se analizaron todas y cada una de las consideraciones que sirvieron de apoyo a las reformas que se proponen, a fin de emitir este instrumento.</w:t>
      </w:r>
    </w:p>
    <w:p w14:paraId="7F940E10">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47AB8E0">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En este orden de ideas, conforme a las facultades que le confieren a esta Comisión de Puntos Constitucionales, los artículos 71 fracción I y 72 de la Constitución Política de los Estados Unidos Mexicanos; 39 numeral 2 fracción XXXVI, 43 numeral 1 y 45 numeral 6 incisos e) y f) de la Ley Orgánica del Congreso General de los Estados Unidos Mexicanos; 80, 82 numeral 1, 84, 85, 157 numeral 1 fracción I; 158 numeral 1 fracción IV y 167 del Reglamento de la Cámara de Diputados, se somete a la consideración y, en su caso, a la aprobación de esta Honorable Asamblea, el presente:</w:t>
      </w:r>
    </w:p>
    <w:p w14:paraId="7A63114B">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076E87A">
      <w:pPr>
        <w:autoSpaceDE w:val="0"/>
        <w:autoSpaceDN w:val="0"/>
        <w:adjustRightInd w:val="0"/>
        <w:spacing w:after="0" w:line="240" w:lineRule="auto"/>
        <w:jc w:val="center"/>
        <w:rPr>
          <w:rFonts w:ascii="Arial" w:hAnsi="Arial" w:eastAsia="MS Mincho" w:cs="Arial"/>
          <w:b/>
          <w:color w:val="000000" w:themeColor="text1"/>
          <w:sz w:val="26"/>
          <w:szCs w:val="26"/>
          <w:lang w:eastAsia="es-ES"/>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DICTAMEN</w:t>
      </w:r>
    </w:p>
    <w:p w14:paraId="644D28DE">
      <w:pPr>
        <w:spacing w:after="0" w:line="240" w:lineRule="auto"/>
        <w:jc w:val="center"/>
        <w:rPr>
          <w:rFonts w:ascii="Arial" w:hAnsi="Arial" w:eastAsia="Times New Roman" w:cs="Arial"/>
          <w:color w:val="000000" w:themeColor="text1"/>
          <w:sz w:val="26"/>
          <w:szCs w:val="26"/>
          <w:lang w:eastAsia="es-ES"/>
          <w14:textFill>
            <w14:solidFill>
              <w14:schemeClr w14:val="tx1"/>
            </w14:solidFill>
          </w14:textFill>
        </w:rPr>
      </w:pPr>
    </w:p>
    <w:p w14:paraId="25A2263D">
      <w:pPr>
        <w:spacing w:after="0" w:line="240" w:lineRule="auto"/>
        <w:jc w:val="both"/>
        <w:rPr>
          <w:rFonts w:ascii="Arial" w:hAnsi="Arial" w:eastAsia="Times New Roman" w:cs="Arial"/>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El trámite, análisis y la elaboración del dictamen que se presenta a consideración ha observado </w:t>
      </w:r>
      <w:r>
        <w:rPr>
          <w:rFonts w:ascii="Arial" w:hAnsi="Arial" w:eastAsia="Times New Roman" w:cs="Arial"/>
          <w:color w:val="000000" w:themeColor="text1"/>
          <w:sz w:val="26"/>
          <w:szCs w:val="26"/>
          <w:lang w:eastAsia="es-ES"/>
          <w14:textFill>
            <w14:solidFill>
              <w14:schemeClr w14:val="tx1"/>
            </w14:solidFill>
          </w14:textFill>
        </w:rPr>
        <w:t>el siguiente:</w:t>
      </w:r>
    </w:p>
    <w:p w14:paraId="25C5F61A">
      <w:pPr>
        <w:spacing w:after="0" w:line="240" w:lineRule="auto"/>
        <w:jc w:val="both"/>
        <w:rPr>
          <w:rFonts w:ascii="Arial" w:hAnsi="Arial" w:eastAsia="Times New Roman" w:cs="Arial"/>
          <w:color w:val="000000" w:themeColor="text1"/>
          <w:sz w:val="26"/>
          <w:szCs w:val="26"/>
          <w:lang w:eastAsia="es-ES"/>
          <w14:textFill>
            <w14:solidFill>
              <w14:schemeClr w14:val="tx1"/>
            </w14:solidFill>
          </w14:textFill>
        </w:rPr>
      </w:pPr>
    </w:p>
    <w:p w14:paraId="48B2C95D">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MÉTODO</w:t>
      </w:r>
    </w:p>
    <w:p w14:paraId="0CB20AC5">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5924F199">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Esta Comisión, encargada del análisis y dictamen de la iniciativa de la que se da cuenta y, en su caso, de sus vinculadas, realizó los trabajos correspondientes conforme a los apartados que a continuación se puntualizan:</w:t>
      </w:r>
    </w:p>
    <w:p w14:paraId="286566A6">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33C2278C">
      <w:pPr>
        <w:pStyle w:val="10"/>
        <w:numPr>
          <w:ilvl w:val="0"/>
          <w:numId w:val="1"/>
        </w:numPr>
        <w:spacing w:after="0" w:line="240" w:lineRule="auto"/>
        <w:ind w:left="284" w:right="49"/>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Trámite legislativo:</w:t>
      </w:r>
      <w:r>
        <w:rPr>
          <w:rFonts w:ascii="Arial" w:hAnsi="Arial" w:eastAsia="MS Mincho" w:cs="Arial"/>
          <w:bCs/>
          <w:color w:val="000000" w:themeColor="text1"/>
          <w:sz w:val="26"/>
          <w:szCs w:val="26"/>
          <w:lang w:eastAsia="es-ES"/>
          <w14:textFill>
            <w14:solidFill>
              <w14:schemeClr w14:val="tx1"/>
            </w14:solidFill>
          </w14:textFill>
        </w:rPr>
        <w:t xml:space="preserve"> se describen los actos y las etapas del procedimiento legislativo de las iniciativas que motivan este dictamen.</w:t>
      </w:r>
    </w:p>
    <w:p w14:paraId="6A8671E0">
      <w:pPr>
        <w:pStyle w:val="10"/>
        <w:spacing w:after="0" w:line="240" w:lineRule="auto"/>
        <w:ind w:left="284" w:right="49"/>
        <w:jc w:val="both"/>
        <w:rPr>
          <w:rFonts w:ascii="Arial" w:hAnsi="Arial" w:eastAsia="MS Mincho" w:cs="Arial"/>
          <w:bCs/>
          <w:color w:val="000000" w:themeColor="text1"/>
          <w:sz w:val="26"/>
          <w:szCs w:val="26"/>
          <w:lang w:eastAsia="es-ES"/>
          <w14:textFill>
            <w14:solidFill>
              <w14:schemeClr w14:val="tx1"/>
            </w14:solidFill>
          </w14:textFill>
        </w:rPr>
      </w:pPr>
    </w:p>
    <w:p w14:paraId="09738C91">
      <w:pPr>
        <w:pStyle w:val="10"/>
        <w:numPr>
          <w:ilvl w:val="0"/>
          <w:numId w:val="1"/>
        </w:numPr>
        <w:spacing w:after="0" w:line="240" w:lineRule="auto"/>
        <w:ind w:left="284"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Contenido de la iniciativa:</w:t>
      </w:r>
      <w:r>
        <w:rPr>
          <w:rFonts w:ascii="Arial" w:hAnsi="Arial" w:eastAsia="MS Mincho" w:cs="Arial"/>
          <w:snapToGrid w:val="0"/>
          <w:color w:val="000000" w:themeColor="text1"/>
          <w:sz w:val="26"/>
          <w:szCs w:val="26"/>
          <w:lang w:eastAsia="es-ES"/>
          <w14:textFill>
            <w14:solidFill>
              <w14:schemeClr w14:val="tx1"/>
            </w14:solidFill>
          </w14:textFill>
        </w:rPr>
        <w:t xml:space="preserve"> expone los objetivos y contenidos, resumiendo los motivos y alcances de la iniciativa del Presidente de la República turnada por la Presidencia de la Mesa Directiva a esta Comisión, para su estudio y dictamen.</w:t>
      </w:r>
    </w:p>
    <w:p w14:paraId="5445DE47">
      <w:pPr>
        <w:pStyle w:val="10"/>
        <w:spacing w:after="0" w:line="240" w:lineRule="auto"/>
        <w:ind w:left="284"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48450685">
      <w:pPr>
        <w:pStyle w:val="10"/>
        <w:numPr>
          <w:ilvl w:val="0"/>
          <w:numId w:val="1"/>
        </w:numPr>
        <w:spacing w:after="0" w:line="240" w:lineRule="auto"/>
        <w:ind w:left="284"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Opinión</w:t>
      </w:r>
      <w:r>
        <w:rPr>
          <w:rFonts w:ascii="Arial" w:hAnsi="Arial" w:eastAsia="MS Mincho" w:cs="Arial"/>
          <w:snapToGrid w:val="0"/>
          <w:color w:val="000000" w:themeColor="text1"/>
          <w:sz w:val="26"/>
          <w:szCs w:val="26"/>
          <w:lang w:eastAsia="es-ES"/>
          <w14:textFill>
            <w14:solidFill>
              <w14:schemeClr w14:val="tx1"/>
            </w14:solidFill>
          </w14:textFill>
        </w:rPr>
        <w:t>: reseña las opiniones rendidas por la Secretaría de Hacienda y Crédito Público y el Centro de Estudios de las Finanzas Públicas de la Cámara de Diputados del Congreso de la Unión, sobre el impacto presupuestario de la iniciativa del Presidente de la República objeto de dictamen.</w:t>
      </w:r>
    </w:p>
    <w:p w14:paraId="03A99BEE">
      <w:pPr>
        <w:pStyle w:val="10"/>
        <w:spacing w:after="0" w:line="240" w:lineRule="auto"/>
        <w:ind w:left="-76"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19796092">
      <w:pPr>
        <w:pStyle w:val="10"/>
        <w:spacing w:after="0" w:line="240" w:lineRule="auto"/>
        <w:ind w:left="220"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Asimismo, la Comisión de Presupuesto y Cuenta Pública, también rindió opinión de impacto presupuestaria.</w:t>
      </w:r>
      <w:r>
        <w:rPr>
          <w:rFonts w:ascii="Arial" w:hAnsi="Arial" w:eastAsia="MS Mincho" w:cs="Arial"/>
          <w:snapToGrid w:val="0"/>
          <w:color w:val="000000" w:themeColor="text1"/>
          <w:sz w:val="26"/>
          <w:szCs w:val="26"/>
          <w:lang w:eastAsia="es-ES"/>
          <w14:textFill>
            <w14:solidFill>
              <w14:schemeClr w14:val="tx1"/>
            </w14:solidFill>
          </w14:textFill>
        </w:rPr>
        <w:tab/>
      </w:r>
    </w:p>
    <w:p w14:paraId="762DC7FE">
      <w:pPr>
        <w:pStyle w:val="10"/>
        <w:spacing w:after="0" w:line="240" w:lineRule="auto"/>
        <w:ind w:left="-76"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3D0FF9EF">
      <w:pPr>
        <w:spacing w:after="0" w:line="240" w:lineRule="auto"/>
        <w:ind w:left="284" w:right="49" w:hanging="360"/>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D. Consideraciones:</w:t>
      </w:r>
      <w:r>
        <w:rPr>
          <w:rFonts w:ascii="Arial" w:hAnsi="Arial" w:eastAsia="MS Mincho" w:cs="Arial"/>
          <w:snapToGrid w:val="0"/>
          <w:color w:val="000000" w:themeColor="text1"/>
          <w:sz w:val="26"/>
          <w:szCs w:val="26"/>
          <w:lang w:eastAsia="es-ES"/>
          <w14:textFill>
            <w14:solidFill>
              <w14:schemeClr w14:val="tx1"/>
            </w14:solidFill>
          </w14:textFill>
        </w:rPr>
        <w:t xml:space="preserve"> se explican y ponderan los argumentos de las iniciativas y, con base en ello, se sustenta el sentido del presente dictamen.</w:t>
      </w:r>
    </w:p>
    <w:p w14:paraId="5238AC1C">
      <w:pPr>
        <w:spacing w:after="0" w:line="240" w:lineRule="auto"/>
        <w:ind w:left="284" w:right="49" w:hanging="360"/>
        <w:jc w:val="both"/>
        <w:rPr>
          <w:rFonts w:ascii="Arial" w:hAnsi="Arial" w:eastAsia="MS Mincho" w:cs="Arial"/>
          <w:snapToGrid w:val="0"/>
          <w:color w:val="000000" w:themeColor="text1"/>
          <w:sz w:val="26"/>
          <w:szCs w:val="26"/>
          <w:lang w:eastAsia="es-ES"/>
          <w14:textFill>
            <w14:solidFill>
              <w14:schemeClr w14:val="tx1"/>
            </w14:solidFill>
          </w14:textFill>
        </w:rPr>
      </w:pPr>
    </w:p>
    <w:p w14:paraId="140DA9D9">
      <w:pPr>
        <w:spacing w:after="0" w:line="240" w:lineRule="auto"/>
        <w:ind w:left="284" w:right="49" w:hanging="360"/>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E. Resultado del dictamen:</w:t>
      </w:r>
      <w:r>
        <w:rPr>
          <w:rFonts w:ascii="Arial" w:hAnsi="Arial" w:eastAsia="MS Mincho" w:cs="Arial"/>
          <w:snapToGrid w:val="0"/>
          <w:color w:val="000000" w:themeColor="text1"/>
          <w:sz w:val="26"/>
          <w:szCs w:val="26"/>
          <w:lang w:eastAsia="es-ES"/>
          <w14:textFill>
            <w14:solidFill>
              <w14:schemeClr w14:val="tx1"/>
            </w14:solidFill>
          </w14:textFill>
        </w:rPr>
        <w:t xml:space="preserve"> se plantea la conclusión del dictamen, con proyecto de Decreto </w:t>
      </w:r>
      <w:r>
        <w:rPr>
          <w:rFonts w:ascii="Arial" w:hAnsi="Arial" w:eastAsia="MS Mincho" w:cs="Arial"/>
          <w:color w:val="000000" w:themeColor="text1"/>
          <w:sz w:val="26"/>
          <w:szCs w:val="26"/>
          <w:lang w:eastAsia="es-ES"/>
          <w14:textFill>
            <w14:solidFill>
              <w14:schemeClr w14:val="tx1"/>
            </w14:solidFill>
          </w14:textFill>
        </w:rPr>
        <w:t>por el que se propone la modificación del Artículo 123 de la Constitución Política de los Estados Unidos Mexicanos, en materia de salarios.</w:t>
      </w:r>
    </w:p>
    <w:p w14:paraId="1A4A81EC">
      <w:pPr>
        <w:spacing w:after="0" w:line="240" w:lineRule="auto"/>
        <w:ind w:left="284" w:right="49" w:hanging="360"/>
        <w:jc w:val="both"/>
        <w:rPr>
          <w:rFonts w:ascii="Arial" w:hAnsi="Arial" w:eastAsia="MS Mincho" w:cs="Arial"/>
          <w:snapToGrid w:val="0"/>
          <w:color w:val="000000" w:themeColor="text1"/>
          <w:sz w:val="26"/>
          <w:szCs w:val="26"/>
          <w:lang w:eastAsia="es-ES"/>
          <w14:textFill>
            <w14:solidFill>
              <w14:schemeClr w14:val="tx1"/>
            </w14:solidFill>
          </w14:textFill>
        </w:rPr>
      </w:pPr>
    </w:p>
    <w:p w14:paraId="37D66A0F">
      <w:pPr>
        <w:spacing w:after="0" w:line="240" w:lineRule="auto"/>
        <w:ind w:left="284" w:right="49" w:hanging="36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F. Texto constitucional reformado y régimen transitorio:</w:t>
      </w:r>
      <w:r>
        <w:rPr>
          <w:rFonts w:ascii="Arial" w:hAnsi="Arial" w:eastAsia="MS Mincho" w:cs="Arial"/>
          <w:bCs/>
          <w:color w:val="000000" w:themeColor="text1"/>
          <w:sz w:val="26"/>
          <w:szCs w:val="26"/>
          <w:lang w:eastAsia="es-ES"/>
          <w14:textFill>
            <w14:solidFill>
              <w14:schemeClr w14:val="tx1"/>
            </w14:solidFill>
          </w14:textFill>
        </w:rPr>
        <w:t xml:space="preserve"> se enuncia el proyecto de Decreto, su texto normativo y de régimen transitorio.</w:t>
      </w:r>
    </w:p>
    <w:p w14:paraId="4CBE8EFC">
      <w:pPr>
        <w:spacing w:after="0" w:line="240" w:lineRule="auto"/>
        <w:ind w:left="284" w:right="49" w:hanging="360"/>
        <w:jc w:val="both"/>
        <w:rPr>
          <w:rFonts w:ascii="Arial" w:hAnsi="Arial" w:eastAsia="MS Mincho" w:cs="Arial"/>
          <w:bCs/>
          <w:color w:val="000000" w:themeColor="text1"/>
          <w:sz w:val="26"/>
          <w:szCs w:val="26"/>
          <w:lang w:eastAsia="es-ES"/>
          <w14:textFill>
            <w14:solidFill>
              <w14:schemeClr w14:val="tx1"/>
            </w14:solidFill>
          </w14:textFill>
        </w:rPr>
      </w:pPr>
    </w:p>
    <w:p w14:paraId="21AABE57">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A. TRÁMITE LEGISLATIVO</w:t>
      </w:r>
    </w:p>
    <w:p w14:paraId="021B114C">
      <w:pPr>
        <w:pStyle w:val="10"/>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45F029B0">
      <w:pPr>
        <w:pStyle w:val="10"/>
        <w:spacing w:after="0" w:line="240" w:lineRule="auto"/>
        <w:ind w:left="0"/>
        <w:jc w:val="both"/>
        <w:rPr>
          <w:rFonts w:ascii="Arial" w:hAnsi="Arial" w:eastAsia="Times New Roman" w:cs="Arial"/>
          <w:color w:val="000000" w:themeColor="text1"/>
          <w:sz w:val="26"/>
          <w:szCs w:val="26"/>
          <w:lang w:eastAsia="es-ES"/>
          <w14:textFill>
            <w14:solidFill>
              <w14:schemeClr w14:val="tx1"/>
            </w14:solidFill>
          </w14:textFill>
        </w:rPr>
      </w:pPr>
      <w:r>
        <w:rPr>
          <w:rFonts w:ascii="Arial" w:hAnsi="Arial" w:eastAsia="Times New Roman" w:cs="Arial"/>
          <w:color w:val="000000" w:themeColor="text1"/>
          <w:sz w:val="26"/>
          <w:szCs w:val="26"/>
          <w:lang w:eastAsia="es-ES"/>
          <w14:textFill>
            <w14:solidFill>
              <w14:schemeClr w14:val="tx1"/>
            </w14:solidFill>
          </w14:textFill>
        </w:rPr>
        <w:t>A continuación, se describe el procedimiento legislativo de la iniciativa que motiva este dictamen.</w:t>
      </w:r>
    </w:p>
    <w:p w14:paraId="1FA931F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6FEE643">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 xml:space="preserve">Turno de la iniciativa del Presidente de la República. </w:t>
      </w:r>
      <w:r>
        <w:rPr>
          <w:rFonts w:ascii="Arial" w:hAnsi="Arial" w:eastAsia="MS Mincho" w:cs="Arial"/>
          <w:color w:val="000000" w:themeColor="text1"/>
          <w:sz w:val="26"/>
          <w:szCs w:val="26"/>
          <w:lang w:eastAsia="es-ES"/>
          <w14:textFill>
            <w14:solidFill>
              <w14:schemeClr w14:val="tx1"/>
            </w14:solidFill>
          </w14:textFill>
        </w:rPr>
        <w:t>El 8 de febrero de 2024, la Mesa Directiva de la LXV Legislatura, turnó a esta Comisión de Puntos Constitucionales para dictamen la iniciativa con proyecto de Decreto que propone la modificación del Artículo 123 de la Constitución Política de los Estados Unidos Mexicanos, en materia de salarios.</w:t>
      </w:r>
    </w:p>
    <w:p w14:paraId="4209259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6FAA69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Comisión de Puntos Constitucionales, el propio 8 de febrero de este año, recibió el expediente para efectos de dictamen.</w:t>
      </w:r>
    </w:p>
    <w:p w14:paraId="225AA21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B8641CF">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Iniciativas conexas</w:t>
      </w:r>
      <w:r>
        <w:rPr>
          <w:rFonts w:ascii="Arial" w:hAnsi="Arial" w:eastAsia="MS Mincho" w:cs="Arial"/>
          <w:color w:val="000000" w:themeColor="text1"/>
          <w:sz w:val="26"/>
          <w:szCs w:val="26"/>
          <w:lang w:eastAsia="es-ES"/>
          <w14:textFill>
            <w14:solidFill>
              <w14:schemeClr w14:val="tx1"/>
            </w14:solidFill>
          </w14:textFill>
        </w:rPr>
        <w:t>. Vinculadas con la materia de dictamen, también son objeto de este instrumento:</w:t>
      </w:r>
    </w:p>
    <w:p w14:paraId="57EC2E2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DC74424">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1. El 20 de enero de 2023, por D.G.P.L. 65-II-7-1700 se recibió en esta Comisión, iniciativa con proyecto de Decreto por el que se adicionan diversas disposiciones de la Constitución Política de los Estados Unidos Mexicanos, presentada por los Diputados Gerardo Peña Flores, Oscar de Jesús Almaraz Smer, Mariela López Sosa y suscrita por las y los Diputados del Grupo Parlamentario del Partido Acción Nacional con el objeto de señalar que los trabajadores de las corporaciones policiacas tendrán acceso a pensiones de retiro y seguros de vida. Determinar la existencia de condiciones para una promoción profesional y salarial, evaluación y certificación con perspectiva de género, capacitación permanente en materia de derechos humanos y establecer un régimen disciplinario. Precisar que las remuneraciones de las corporaciones policiacas estimularán la mejora de los niveles de formación tanto táctica como académica. Indicar que la jornada de trabajo será de 8 horas diarias, expandible para los casos extraordinarios, con sus correspondientes días de descanso, periodos vacacionales, permisos de maternidad y paternidad. Mencionar que los conflictos relacionados con su relación laboral, se resolverán en los tribunales laborales competentes. Agregar que se garantizará el derecho de asociación para la protección de sus intereses.</w:t>
      </w:r>
    </w:p>
    <w:p w14:paraId="081F75C1">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 xml:space="preserve">El vencimiento de la prórroga para dictaminar la iniciativa es el 29 de marzo de 2024. </w:t>
      </w:r>
    </w:p>
    <w:p w14:paraId="16250E2C">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59A4E119">
      <w:pPr>
        <w:jc w:val="both"/>
        <w:rPr>
          <w:rFonts w:ascii="Arial" w:hAnsi="Arial" w:eastAsia="Calibri" w:cs="Arial"/>
          <w:kern w:val="2"/>
          <w:sz w:val="26"/>
          <w:szCs w:val="26"/>
          <w14:ligatures w14:val="standardContextual"/>
        </w:rPr>
      </w:pPr>
      <w:r>
        <w:fldChar w:fldCharType="begin"/>
      </w:r>
      <w:r>
        <w:instrText xml:space="preserve"> HYPERLINK "https://gaceta.diputados.gob.mx/Gaceta/65/2022/oct/20221011-III.html#Iniciativa7" </w:instrText>
      </w:r>
      <w:r>
        <w:fldChar w:fldCharType="separate"/>
      </w:r>
      <w:r>
        <w:rPr>
          <w:rFonts w:ascii="Arial" w:hAnsi="Arial" w:eastAsia="Calibri" w:cs="Arial"/>
          <w:color w:val="0563C1"/>
          <w:kern w:val="2"/>
          <w:sz w:val="26"/>
          <w:szCs w:val="26"/>
          <w:u w:val="single"/>
          <w14:ligatures w14:val="standardContextual"/>
        </w:rPr>
        <w:t>https://gaceta.diputados.gob.mx/Gaceta/65/2022/oct/20221011-III.html#Iniciativa7</w:t>
      </w:r>
      <w:r>
        <w:rPr>
          <w:rFonts w:ascii="Arial" w:hAnsi="Arial" w:eastAsia="Calibri" w:cs="Arial"/>
          <w:color w:val="0563C1"/>
          <w:kern w:val="2"/>
          <w:sz w:val="26"/>
          <w:szCs w:val="26"/>
          <w:u w:val="single"/>
          <w14:ligatures w14:val="standardContextual"/>
        </w:rPr>
        <w:fldChar w:fldCharType="end"/>
      </w:r>
      <w:r>
        <w:rPr>
          <w:rFonts w:ascii="Arial" w:hAnsi="Arial" w:eastAsia="Calibri" w:cs="Arial"/>
          <w:kern w:val="2"/>
          <w:sz w:val="26"/>
          <w:szCs w:val="26"/>
          <w14:ligatures w14:val="standardContextual"/>
        </w:rPr>
        <w:t xml:space="preserve"> </w:t>
      </w:r>
    </w:p>
    <w:p w14:paraId="1F25A1DD">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 xml:space="preserve">2. El 31 de mayo de 2023, por D.G.P.L. 65-II-1-2199 se recibió en esta Comisión, iniciativa con proyecto de Decreto por el que se reforma y adiciona el artículo 123 de la Constitución Política de los Estados Unidos Mexicanos, presentada por la Dip. María Teresa Rosaura Ochoa Mejía, integrante del Grupo Parlamentario de Movimiento Ciudadano, con el objeto de considerar que los patrones y el Estado como tal, otorguen a los trabajadores vales de despensa, proporcionales para satisfacer las necesidades normales de un jefe de familia. </w:t>
      </w:r>
    </w:p>
    <w:p w14:paraId="4055180E">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 xml:space="preserve">El vencimiento de la prórroga para dictaminar la iniciativa es el 30 de abril de 2024. </w:t>
      </w:r>
    </w:p>
    <w:p w14:paraId="566F3AFE">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451A3C34">
      <w:pPr>
        <w:jc w:val="both"/>
        <w:rPr>
          <w:rFonts w:ascii="Arial" w:hAnsi="Arial" w:eastAsia="Calibri" w:cs="Arial"/>
          <w:kern w:val="2"/>
          <w:sz w:val="26"/>
          <w:szCs w:val="26"/>
          <w14:ligatures w14:val="standardContextual"/>
        </w:rPr>
      </w:pPr>
      <w:r>
        <w:fldChar w:fldCharType="begin"/>
      </w:r>
      <w:r>
        <w:instrText xml:space="preserve"> HYPERLINK "https://gaceta.diputados.gob.mx/Gaceta/65/2023/mar/20230328-II.html#Iniciativa5" </w:instrText>
      </w:r>
      <w:r>
        <w:fldChar w:fldCharType="separate"/>
      </w:r>
      <w:r>
        <w:rPr>
          <w:rFonts w:ascii="Arial" w:hAnsi="Arial" w:eastAsia="Calibri" w:cs="Times New Roman"/>
          <w:color w:val="0563C1"/>
          <w:kern w:val="2"/>
          <w:sz w:val="26"/>
          <w:szCs w:val="26"/>
          <w:u w:val="single"/>
          <w14:ligatures w14:val="standardContextual"/>
        </w:rPr>
        <w:t>https://gaceta.diputados.gob.mx/Gaceta/65/2023/mar/20230328-II.html#Iniciativa5</w:t>
      </w:r>
      <w:r>
        <w:rPr>
          <w:rFonts w:ascii="Arial" w:hAnsi="Arial" w:eastAsia="Calibri" w:cs="Times New Roman"/>
          <w:color w:val="0563C1"/>
          <w:kern w:val="2"/>
          <w:sz w:val="26"/>
          <w:szCs w:val="26"/>
          <w:u w:val="single"/>
          <w14:ligatures w14:val="standardContextual"/>
        </w:rPr>
        <w:fldChar w:fldCharType="end"/>
      </w:r>
      <w:r>
        <w:rPr>
          <w:rFonts w:ascii="Arial" w:hAnsi="Arial" w:eastAsia="Calibri" w:cs="Times New Roman"/>
          <w:kern w:val="2"/>
          <w:sz w:val="26"/>
          <w:szCs w:val="26"/>
          <w14:ligatures w14:val="standardContextual"/>
        </w:rPr>
        <w:t xml:space="preserve"> </w:t>
      </w:r>
      <w:r>
        <w:rPr>
          <w:rFonts w:ascii="Calibri" w:hAnsi="Calibri" w:eastAsia="Calibri" w:cs="Times New Roman"/>
          <w:kern w:val="2"/>
          <w14:ligatures w14:val="standardContextual"/>
        </w:rPr>
        <w:t xml:space="preserve"> </w:t>
      </w:r>
      <w:r>
        <w:rPr>
          <w:rFonts w:ascii="Arial" w:hAnsi="Arial" w:eastAsia="Calibri" w:cs="Arial"/>
          <w:kern w:val="2"/>
          <w:sz w:val="26"/>
          <w:szCs w:val="26"/>
          <w14:ligatures w14:val="standardContextual"/>
        </w:rPr>
        <w:t xml:space="preserve"> </w:t>
      </w:r>
    </w:p>
    <w:p w14:paraId="179374B9">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3.- El 22 de enero de 2024 por D.G.P.L. 65-II-1-2919 se recibió en esta Comisión, iniciativa con proyecto de Decreto por el que se reforma y adiciona el artículo 123 de la Constitución Política de los Estados Unidos Mexicanos, presentada por el Dip. Manuel Alejandro Robles Gómez, integrante del Grupo Parlamentario de MORENA con el objeto de establecer que la fijación anual de los salarios mínimos o la revisión de los mismos, nunca estará por debajo de la inflación observada durante el período de su vigencia.</w:t>
      </w:r>
    </w:p>
    <w:p w14:paraId="4CC9BB61">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Iniciativa con plazo vigente para dictamen.</w:t>
      </w:r>
    </w:p>
    <w:p w14:paraId="024BC41B">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1ADC0FCF">
      <w:pPr>
        <w:jc w:val="both"/>
        <w:rPr>
          <w:rFonts w:ascii="Arial" w:hAnsi="Arial" w:eastAsia="Calibri" w:cs="Arial"/>
          <w:kern w:val="2"/>
          <w:sz w:val="26"/>
          <w:szCs w:val="26"/>
          <w14:ligatures w14:val="standardContextual"/>
        </w:rPr>
      </w:pPr>
      <w:r>
        <w:fldChar w:fldCharType="begin"/>
      </w:r>
      <w:r>
        <w:instrText xml:space="preserve"> HYPERLINK "https://gaceta.diputados.gob.mx/Gaceta/65/2024/ene/20240117-II.html#Iniciativa7" </w:instrText>
      </w:r>
      <w:r>
        <w:fldChar w:fldCharType="separate"/>
      </w:r>
      <w:r>
        <w:rPr>
          <w:rFonts w:ascii="Arial" w:hAnsi="Arial" w:eastAsia="Calibri" w:cs="Times New Roman"/>
          <w:color w:val="0563C1"/>
          <w:kern w:val="2"/>
          <w:sz w:val="26"/>
          <w:szCs w:val="26"/>
          <w:u w:val="single"/>
          <w14:ligatures w14:val="standardContextual"/>
        </w:rPr>
        <w:t>https://gaceta.diputados.gob.mx/Gaceta/65/2024/ene/20240117-II.html#Iniciativa7</w:t>
      </w:r>
      <w:r>
        <w:rPr>
          <w:rFonts w:ascii="Arial" w:hAnsi="Arial" w:eastAsia="Calibri" w:cs="Times New Roman"/>
          <w:color w:val="0563C1"/>
          <w:kern w:val="2"/>
          <w:sz w:val="26"/>
          <w:szCs w:val="26"/>
          <w:u w:val="single"/>
          <w14:ligatures w14:val="standardContextual"/>
        </w:rPr>
        <w:fldChar w:fldCharType="end"/>
      </w:r>
      <w:r>
        <w:rPr>
          <w:rFonts w:ascii="Arial" w:hAnsi="Arial" w:eastAsia="Calibri" w:cs="Times New Roman"/>
          <w:kern w:val="2"/>
          <w:sz w:val="26"/>
          <w:szCs w:val="26"/>
          <w14:ligatures w14:val="standardContextual"/>
        </w:rPr>
        <w:t xml:space="preserve"> </w:t>
      </w:r>
      <w:r>
        <w:rPr>
          <w:rFonts w:ascii="Calibri" w:hAnsi="Calibri" w:eastAsia="Calibri" w:cs="Times New Roman"/>
          <w:kern w:val="2"/>
          <w14:ligatures w14:val="standardContextual"/>
        </w:rPr>
        <w:t xml:space="preserve"> </w:t>
      </w:r>
    </w:p>
    <w:p w14:paraId="0C26ABC7">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4.- El 12 de febrero de 2024, por D.G.P.L. 65-II-7-3173 se recibió en esta Comisión,</w:t>
      </w:r>
      <w:r>
        <w:rPr>
          <w:rFonts w:ascii="Arial" w:hAnsi="Arial" w:eastAsia="Times New Roman" w:cs="Arial"/>
          <w:color w:val="000000"/>
          <w:lang w:eastAsia="es-MX"/>
        </w:rPr>
        <w:t xml:space="preserve"> </w:t>
      </w:r>
      <w:r>
        <w:rPr>
          <w:rFonts w:ascii="Arial" w:hAnsi="Arial" w:eastAsia="Calibri" w:cs="Arial"/>
          <w:kern w:val="2"/>
          <w:sz w:val="26"/>
          <w:szCs w:val="26"/>
          <w14:ligatures w14:val="standardContextual"/>
        </w:rPr>
        <w:t xml:space="preserve">iniciativa con proyecto de Decreto por el que se adiciona el artículo 123 de la Constitución Política de los Estados Unidos Mexicanos, presentada por la Dip. Merary Villegas Sánchez, integrante del Grupo Parlamentario MORENA con el objeto de establecer que el incremento anual del salario mínimo nunca estará por debajo del Índice Nacional de Precios al Consumidor vigente durante el año transcurrido. </w:t>
      </w:r>
    </w:p>
    <w:p w14:paraId="1F499333">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Iniciativa con plazo vigente para dictamen.</w:t>
      </w:r>
    </w:p>
    <w:p w14:paraId="10BD1C1C">
      <w:pPr>
        <w:jc w:val="both"/>
        <w:rPr>
          <w:rFonts w:ascii="Arial" w:hAnsi="Arial" w:eastAsia="Calibri" w:cs="Arial"/>
          <w:kern w:val="2"/>
          <w:sz w:val="26"/>
          <w:szCs w:val="26"/>
          <w14:ligatures w14:val="standardContextual"/>
        </w:rPr>
      </w:pPr>
      <w:r>
        <w:rPr>
          <w:rFonts w:ascii="Arial" w:hAnsi="Arial" w:eastAsia="Calibri" w:cs="Arial"/>
          <w:kern w:val="2"/>
          <w:sz w:val="26"/>
          <w:szCs w:val="26"/>
          <w14:ligatures w14:val="standardContextual"/>
        </w:rPr>
        <w:t>La iniciativa se puede consultar a texto completo en la liga siguiente:</w:t>
      </w:r>
    </w:p>
    <w:p w14:paraId="5E82624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"https://gaceta.diputados.gob.mx/Gaceta/65/2024/feb/20240213-III-1.html#Iniciativa14" </w:instrText>
      </w:r>
      <w:r>
        <w:fldChar w:fldCharType="separate"/>
      </w:r>
      <w:r>
        <w:rPr>
          <w:rFonts w:ascii="Arial" w:hAnsi="Arial" w:eastAsia="Calibri" w:cs="Arial"/>
          <w:color w:val="0563C1"/>
          <w:kern w:val="2"/>
          <w:sz w:val="26"/>
          <w:szCs w:val="26"/>
          <w:u w:val="single"/>
          <w14:ligatures w14:val="standardContextual"/>
        </w:rPr>
        <w:t>https://gaceta.diputados.gob.mx/Gaceta/65/2024/feb/20240213-III-1.html#Iniciativa14</w:t>
      </w:r>
      <w:r>
        <w:rPr>
          <w:rFonts w:ascii="Arial" w:hAnsi="Arial" w:eastAsia="Calibri" w:cs="Arial"/>
          <w:color w:val="0563C1"/>
          <w:kern w:val="2"/>
          <w:sz w:val="26"/>
          <w:szCs w:val="26"/>
          <w:u w:val="single"/>
          <w14:ligatures w14:val="standardContextual"/>
        </w:rPr>
        <w:fldChar w:fldCharType="end"/>
      </w:r>
    </w:p>
    <w:p w14:paraId="0587256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E0C9F4D">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Foros de Diálogo Nacional</w:t>
      </w:r>
      <w:r>
        <w:rPr>
          <w:rFonts w:ascii="Arial" w:hAnsi="Arial" w:eastAsia="MS Mincho" w:cs="Arial"/>
          <w:color w:val="000000" w:themeColor="text1"/>
          <w:sz w:val="26"/>
          <w:szCs w:val="26"/>
          <w:lang w:eastAsia="es-ES"/>
          <w14:textFill>
            <w14:solidFill>
              <w14:schemeClr w14:val="tx1"/>
            </w14:solidFill>
          </w14:textFill>
        </w:rPr>
        <w:t xml:space="preserve">. El 20 de febrero del año en curso, la Junta de Coordinación Política de la Cámara de Diputados del Congreso de la Unión, aprobó el </w:t>
      </w:r>
      <w:r>
        <w:rPr>
          <w:rFonts w:ascii="Arial" w:hAnsi="Arial" w:eastAsia="MS Mincho" w:cs="Arial"/>
          <w:i/>
          <w:color w:val="000000" w:themeColor="text1"/>
          <w:sz w:val="26"/>
          <w:szCs w:val="26"/>
          <w:lang w:eastAsia="es-ES"/>
          <w14:textFill>
            <w14:solidFill>
              <w14:schemeClr w14:val="tx1"/>
            </w14:solidFill>
          </w14:textFill>
        </w:rPr>
        <w:t>Acuerdo por el que se proponen los formatos de los diálogos nacionales para la presentación, análisis y debate de las reformas constitucionales y otras que se discutirán en el Congreso Federal en el último periodo de la presente legislatura”.</w:t>
      </w:r>
      <w:r>
        <w:rPr>
          <w:rFonts w:ascii="Arial" w:hAnsi="Arial" w:eastAsia="MS Mincho" w:cs="Arial"/>
          <w:color w:val="000000" w:themeColor="text1"/>
          <w:sz w:val="26"/>
          <w:szCs w:val="26"/>
          <w:lang w:eastAsia="es-ES"/>
          <w14:textFill>
            <w14:solidFill>
              <w14:schemeClr w14:val="tx1"/>
            </w14:solidFill>
          </w14:textFill>
        </w:rPr>
        <w:t xml:space="preserve"> </w:t>
      </w:r>
    </w:p>
    <w:p w14:paraId="00AEEE7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B5B785A">
      <w:pPr>
        <w:spacing w:after="0" w:line="240" w:lineRule="auto"/>
        <w:jc w:val="both"/>
        <w:rPr>
          <w:rFonts w:hint="default" w:ascii="Arial" w:hAnsi="Arial" w:eastAsia="MS Mincho" w:cs="Arial"/>
          <w:color w:val="000000" w:themeColor="text1"/>
          <w:sz w:val="26"/>
          <w:szCs w:val="26"/>
          <w:lang w:val="es-MX"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w:t>
      </w:r>
      <w:r>
        <w:rPr>
          <w:rFonts w:ascii="Arial" w:hAnsi="Arial" w:eastAsia="MS Mincho" w:cs="Arial"/>
          <w:i/>
          <w:color w:val="000000" w:themeColor="text1"/>
          <w:sz w:val="26"/>
          <w:szCs w:val="26"/>
          <w:lang w:eastAsia="es-ES"/>
          <w14:textFill>
            <w14:solidFill>
              <w14:schemeClr w14:val="tx1"/>
            </w14:solidFill>
          </w14:textFill>
        </w:rPr>
        <w:t>Acuerdo</w:t>
      </w:r>
      <w:r>
        <w:rPr>
          <w:rFonts w:ascii="Arial" w:hAnsi="Arial" w:eastAsia="MS Mincho" w:cs="Arial"/>
          <w:color w:val="000000" w:themeColor="text1"/>
          <w:sz w:val="26"/>
          <w:szCs w:val="26"/>
          <w:lang w:eastAsia="es-ES"/>
          <w14:textFill>
            <w14:solidFill>
              <w14:schemeClr w14:val="tx1"/>
            </w14:solidFill>
          </w14:textFill>
        </w:rPr>
        <w:t xml:space="preserve"> dispuso que los diálogos se basaran en los principios de pluralidad, inclusión, publicidad, oportunidad, máxima difusión, transparencia, escrutinio, discusión y deliberación, del 21 de febrero al 15 de abril de este año, trabajando en conferencia con la Cámara de Senadores</w:t>
      </w:r>
      <w:r>
        <w:rPr>
          <w:rFonts w:hint="default" w:ascii="Arial" w:hAnsi="Arial" w:eastAsia="MS Mincho" w:cs="Arial"/>
          <w:color w:val="000000" w:themeColor="text1"/>
          <w:sz w:val="26"/>
          <w:szCs w:val="26"/>
          <w:lang w:val="es-MX" w:eastAsia="es-ES"/>
          <w14:textFill>
            <w14:solidFill>
              <w14:schemeClr w14:val="tx1"/>
            </w14:solidFill>
          </w14:textFill>
        </w:rPr>
        <w:t>; plazo que se amplió al 18 de abril.</w:t>
      </w:r>
    </w:p>
    <w:p w14:paraId="5B75FE1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3DDF4A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organización general de los foros en la Cámara de Diputados, recayó en un grupo plural de trabajo integrado por los Coordinadores de los Grupos Parlamentarios y sus representantes, excepción hecha del Partido Movimiento Ciudadano que declinó su participación.</w:t>
      </w:r>
    </w:p>
    <w:p w14:paraId="7EFEB82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282762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Los formatos se estructuraron en 3 modalidades: </w:t>
      </w:r>
    </w:p>
    <w:p w14:paraId="3750638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43FFEB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 xml:space="preserve">1. Cinco Diálogos JUCOPO </w:t>
      </w:r>
      <w:r>
        <w:rPr>
          <w:rFonts w:ascii="Arial" w:hAnsi="Arial" w:eastAsia="MS Mincho" w:cs="Arial"/>
          <w:color w:val="000000" w:themeColor="text1"/>
          <w:sz w:val="26"/>
          <w:szCs w:val="26"/>
          <w:lang w:eastAsia="es-ES"/>
          <w14:textFill>
            <w14:solidFill>
              <w14:schemeClr w14:val="tx1"/>
            </w14:solidFill>
          </w14:textFill>
        </w:rPr>
        <w:t>(organizados de manera alternada entre la Cámara de Diputados y la Cámara de Senadores del Congreso de la Unión):</w:t>
      </w:r>
    </w:p>
    <w:p w14:paraId="2ACF134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7AAC33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1.1.</w:t>
      </w:r>
      <w:r>
        <w:rPr>
          <w:rFonts w:ascii="Arial" w:hAnsi="Arial" w:eastAsia="MS Mincho" w:cs="Arial"/>
          <w:color w:val="000000" w:themeColor="text1"/>
          <w:sz w:val="26"/>
          <w:szCs w:val="26"/>
          <w:lang w:eastAsia="es-ES"/>
          <w14:textFill>
            <w14:solidFill>
              <w14:schemeClr w14:val="tx1"/>
            </w14:solidFill>
          </w14:textFill>
        </w:rPr>
        <w:t xml:space="preserve"> </w:t>
      </w:r>
      <w:r>
        <w:rPr>
          <w:rFonts w:ascii="Arial" w:hAnsi="Arial" w:eastAsia="MS Mincho" w:cs="Arial"/>
          <w:i/>
          <w:iCs/>
          <w:color w:val="000000" w:themeColor="text1"/>
          <w:sz w:val="26"/>
          <w:szCs w:val="26"/>
          <w:lang w:eastAsia="es-ES"/>
          <w14:textFill>
            <w14:solidFill>
              <w14:schemeClr w14:val="tx1"/>
            </w14:solidFill>
          </w14:textFill>
        </w:rPr>
        <w:t>Diálogo de inauguración</w:t>
      </w:r>
      <w:r>
        <w:rPr>
          <w:rFonts w:ascii="Arial" w:hAnsi="Arial" w:eastAsia="MS Mincho" w:cs="Arial"/>
          <w:color w:val="000000" w:themeColor="text1"/>
          <w:sz w:val="26"/>
          <w:szCs w:val="26"/>
          <w:lang w:eastAsia="es-ES"/>
          <w14:textFill>
            <w14:solidFill>
              <w14:schemeClr w14:val="tx1"/>
            </w14:solidFill>
          </w14:textFill>
        </w:rPr>
        <w:t>. Presentación de la Propuesta. 21 de febrero, en el Palacio Legislativo de San Lázaro, Ciudad de México.</w:t>
      </w:r>
    </w:p>
    <w:p w14:paraId="15EBAF6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908923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1.2.</w:t>
      </w:r>
      <w:r>
        <w:rPr>
          <w:rFonts w:ascii="Arial" w:hAnsi="Arial" w:eastAsia="MS Mincho" w:cs="Arial"/>
          <w:color w:val="000000" w:themeColor="text1"/>
          <w:sz w:val="26"/>
          <w:szCs w:val="26"/>
          <w:lang w:eastAsia="es-ES"/>
          <w14:textFill>
            <w14:solidFill>
              <w14:schemeClr w14:val="tx1"/>
            </w14:solidFill>
          </w14:textFill>
        </w:rPr>
        <w:t xml:space="preserve">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libertad</w:t>
      </w:r>
      <w:r>
        <w:rPr>
          <w:rFonts w:ascii="Arial" w:hAnsi="Arial" w:eastAsia="MS Mincho" w:cs="Arial"/>
          <w:color w:val="000000" w:themeColor="text1"/>
          <w:sz w:val="26"/>
          <w:szCs w:val="26"/>
          <w:lang w:eastAsia="es-ES"/>
          <w14:textFill>
            <w14:solidFill>
              <w14:schemeClr w14:val="tx1"/>
            </w14:solidFill>
          </w14:textFill>
        </w:rPr>
        <w:t xml:space="preserve">”, 27 de febrero, en el recinto de la Cámara de Diputados del Congreso de la Unión, Ciudad de México. </w:t>
      </w:r>
    </w:p>
    <w:p w14:paraId="2D43A26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5751F5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1.3.</w:t>
      </w:r>
      <w:r>
        <w:rPr>
          <w:rFonts w:ascii="Arial" w:hAnsi="Arial" w:eastAsia="MS Mincho" w:cs="Arial"/>
          <w:color w:val="000000" w:themeColor="text1"/>
          <w:sz w:val="26"/>
          <w:szCs w:val="26"/>
          <w:lang w:eastAsia="es-ES"/>
          <w14:textFill>
            <w14:solidFill>
              <w14:schemeClr w14:val="tx1"/>
            </w14:solidFill>
          </w14:textFill>
        </w:rPr>
        <w:t xml:space="preserve">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el bienestar</w:t>
      </w:r>
      <w:r>
        <w:rPr>
          <w:rFonts w:ascii="Arial" w:hAnsi="Arial" w:eastAsia="MS Mincho" w:cs="Arial"/>
          <w:color w:val="000000" w:themeColor="text1"/>
          <w:sz w:val="26"/>
          <w:szCs w:val="26"/>
          <w:lang w:eastAsia="es-ES"/>
          <w14:textFill>
            <w14:solidFill>
              <w14:schemeClr w14:val="tx1"/>
            </w14:solidFill>
          </w14:textFill>
        </w:rPr>
        <w:t>”, 5 de marzo, en el recinto de la Cámara de Diputados del Congreso de la Unión, Palacio Legislativo de San Lázaro, Ciudad de México.</w:t>
      </w:r>
    </w:p>
    <w:p w14:paraId="5B5052F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8B7B509">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1.4</w:t>
      </w:r>
      <w:r>
        <w:rPr>
          <w:rFonts w:ascii="Arial" w:hAnsi="Arial" w:eastAsia="MS Mincho" w:cs="Arial"/>
          <w:color w:val="000000" w:themeColor="text1"/>
          <w:sz w:val="26"/>
          <w:szCs w:val="26"/>
          <w:lang w:eastAsia="es-ES"/>
          <w14:textFill>
            <w14:solidFill>
              <w14:schemeClr w14:val="tx1"/>
            </w14:solidFill>
          </w14:textFill>
        </w:rPr>
        <w:t>.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justicia</w:t>
      </w:r>
      <w:r>
        <w:rPr>
          <w:rFonts w:ascii="Arial" w:hAnsi="Arial" w:eastAsia="MS Mincho" w:cs="Arial"/>
          <w:color w:val="000000" w:themeColor="text1"/>
          <w:sz w:val="26"/>
          <w:szCs w:val="26"/>
          <w:lang w:eastAsia="es-ES"/>
          <w14:textFill>
            <w14:solidFill>
              <w14:schemeClr w14:val="tx1"/>
            </w14:solidFill>
          </w14:textFill>
        </w:rPr>
        <w:t>”, 19 de marzo, en el recinto de la Cámara de Diputados del Congreso de la Unión, Ciudad de México.</w:t>
      </w:r>
    </w:p>
    <w:p w14:paraId="0D78DFD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732122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1.5</w:t>
      </w:r>
      <w:r>
        <w:rPr>
          <w:rFonts w:ascii="Arial" w:hAnsi="Arial" w:eastAsia="MS Mincho" w:cs="Arial"/>
          <w:color w:val="000000" w:themeColor="text1"/>
          <w:sz w:val="26"/>
          <w:szCs w:val="26"/>
          <w:lang w:eastAsia="es-ES"/>
          <w14:textFill>
            <w14:solidFill>
              <w14:schemeClr w14:val="tx1"/>
            </w14:solidFill>
          </w14:textFill>
        </w:rPr>
        <w:t>.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democracia</w:t>
      </w:r>
      <w:r>
        <w:rPr>
          <w:rFonts w:ascii="Arial" w:hAnsi="Arial" w:eastAsia="MS Mincho" w:cs="Arial"/>
          <w:color w:val="000000" w:themeColor="text1"/>
          <w:sz w:val="26"/>
          <w:szCs w:val="26"/>
          <w:lang w:eastAsia="es-ES"/>
          <w14:textFill>
            <w14:solidFill>
              <w14:schemeClr w14:val="tx1"/>
            </w14:solidFill>
          </w14:textFill>
        </w:rPr>
        <w:t>”, 9 de abril, en el recinto de la Cámara de Diputados del Congreso de la Unión, Palacio Legislativo de San Lázaro, Ciudad de México.</w:t>
      </w:r>
    </w:p>
    <w:p w14:paraId="3E11D82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D9652B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w:t>
      </w:r>
      <w:r>
        <w:rPr>
          <w:rFonts w:ascii="Arial" w:hAnsi="Arial" w:eastAsia="MS Mincho" w:cs="Arial"/>
          <w:color w:val="000000" w:themeColor="text1"/>
          <w:sz w:val="26"/>
          <w:szCs w:val="26"/>
          <w:lang w:eastAsia="es-ES"/>
          <w14:textFill>
            <w14:solidFill>
              <w14:schemeClr w14:val="tx1"/>
            </w14:solidFill>
          </w14:textFill>
        </w:rPr>
        <w:t xml:space="preserve">. </w:t>
      </w:r>
      <w:r>
        <w:rPr>
          <w:rFonts w:ascii="Arial" w:hAnsi="Arial" w:eastAsia="MS Mincho" w:cs="Arial"/>
          <w:b/>
          <w:bCs/>
          <w:color w:val="000000" w:themeColor="text1"/>
          <w:sz w:val="26"/>
          <w:szCs w:val="26"/>
          <w:lang w:eastAsia="es-ES"/>
          <w14:textFill>
            <w14:solidFill>
              <w14:schemeClr w14:val="tx1"/>
            </w14:solidFill>
          </w14:textFill>
        </w:rPr>
        <w:t>Cinco Diálogos Regionales</w:t>
      </w:r>
      <w:r>
        <w:rPr>
          <w:rFonts w:ascii="Arial" w:hAnsi="Arial" w:eastAsia="MS Mincho" w:cs="Arial"/>
          <w:color w:val="000000" w:themeColor="text1"/>
          <w:sz w:val="26"/>
          <w:szCs w:val="26"/>
          <w:lang w:eastAsia="es-ES"/>
          <w14:textFill>
            <w14:solidFill>
              <w14:schemeClr w14:val="tx1"/>
            </w14:solidFill>
          </w14:textFill>
        </w:rPr>
        <w:t>, organizados por la Cámara de Diputados del Congreso de la Unión:</w:t>
      </w:r>
    </w:p>
    <w:p w14:paraId="4F5C412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435266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2.1</w:t>
      </w:r>
      <w:r>
        <w:rPr>
          <w:rFonts w:ascii="Arial" w:hAnsi="Arial" w:eastAsia="MS Mincho" w:cs="Arial"/>
          <w:color w:val="000000" w:themeColor="text1"/>
          <w:sz w:val="26"/>
          <w:szCs w:val="26"/>
          <w:lang w:eastAsia="es-ES"/>
          <w14:textFill>
            <w14:solidFill>
              <w14:schemeClr w14:val="tx1"/>
            </w14:solidFill>
          </w14:textFill>
        </w:rPr>
        <w:t>. Diálogo regional por la justicia y la democracia, 21 de marzo, en San Luis Potosí, San Luis Potosí.</w:t>
      </w:r>
    </w:p>
    <w:p w14:paraId="14CA6BF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7169DF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2.2</w:t>
      </w:r>
      <w:r>
        <w:rPr>
          <w:rFonts w:ascii="Arial" w:hAnsi="Arial" w:eastAsia="MS Mincho" w:cs="Arial"/>
          <w:color w:val="000000" w:themeColor="text1"/>
          <w:sz w:val="26"/>
          <w:szCs w:val="26"/>
          <w:lang w:eastAsia="es-ES"/>
          <w14:textFill>
            <w14:solidFill>
              <w14:schemeClr w14:val="tx1"/>
            </w14:solidFill>
          </w14:textFill>
        </w:rPr>
        <w:t>. Diálogo regional por la libertad y la autodeterminación de las comunidades indígenas, 2 de abril, en Oaxaca, Oaxaca.</w:t>
      </w:r>
    </w:p>
    <w:p w14:paraId="7077251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7C93347">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2.3</w:t>
      </w:r>
      <w:r>
        <w:rPr>
          <w:rFonts w:ascii="Arial" w:hAnsi="Arial" w:eastAsia="MS Mincho" w:cs="Arial"/>
          <w:color w:val="000000" w:themeColor="text1"/>
          <w:sz w:val="26"/>
          <w:szCs w:val="26"/>
          <w:lang w:eastAsia="es-ES"/>
          <w14:textFill>
            <w14:solidFill>
              <w14:schemeClr w14:val="tx1"/>
            </w14:solidFill>
          </w14:textFill>
        </w:rPr>
        <w:t>. Diálogo regional por el bienestar y la justicia, 11 de abril, en Toluca, Estado de México.</w:t>
      </w:r>
    </w:p>
    <w:p w14:paraId="23A83BA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12C782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2.4</w:t>
      </w:r>
      <w:r>
        <w:rPr>
          <w:rFonts w:ascii="Arial" w:hAnsi="Arial" w:eastAsia="MS Mincho" w:cs="Arial"/>
          <w:color w:val="000000" w:themeColor="text1"/>
          <w:sz w:val="26"/>
          <w:szCs w:val="26"/>
          <w:lang w:eastAsia="es-ES"/>
          <w14:textFill>
            <w14:solidFill>
              <w14:schemeClr w14:val="tx1"/>
            </w14:solidFill>
          </w14:textFill>
        </w:rPr>
        <w:t>. Diálogo regional por la libertad y el bienestar, 12 de abril, en Pachuca, Hidalgo.</w:t>
      </w:r>
    </w:p>
    <w:p w14:paraId="3FDE649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4CAD09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2.5</w:t>
      </w:r>
      <w:r>
        <w:rPr>
          <w:rFonts w:ascii="Arial" w:hAnsi="Arial" w:eastAsia="MS Mincho" w:cs="Arial"/>
          <w:color w:val="000000" w:themeColor="text1"/>
          <w:sz w:val="26"/>
          <w:szCs w:val="26"/>
          <w:lang w:eastAsia="es-ES"/>
          <w14:textFill>
            <w14:solidFill>
              <w14:schemeClr w14:val="tx1"/>
            </w14:solidFill>
          </w14:textFill>
        </w:rPr>
        <w:t xml:space="preserve">. Diálogo regional por la libertad y el bienestar, </w:t>
      </w:r>
      <w:r>
        <w:rPr>
          <w:rFonts w:hint="default" w:ascii="Arial" w:hAnsi="Arial" w:eastAsia="MS Mincho" w:cs="Arial"/>
          <w:color w:val="000000" w:themeColor="text1"/>
          <w:sz w:val="26"/>
          <w:szCs w:val="26"/>
          <w:lang w:val="es-MX" w:eastAsia="es-ES"/>
          <w14:textFill>
            <w14:solidFill>
              <w14:schemeClr w14:val="tx1"/>
            </w14:solidFill>
          </w14:textFill>
        </w:rPr>
        <w:t xml:space="preserve">17 de </w:t>
      </w:r>
      <w:r>
        <w:rPr>
          <w:rFonts w:ascii="Arial" w:hAnsi="Arial" w:eastAsia="MS Mincho" w:cs="Arial"/>
          <w:color w:val="000000" w:themeColor="text1"/>
          <w:sz w:val="26"/>
          <w:szCs w:val="26"/>
          <w:lang w:eastAsia="es-ES"/>
          <w14:textFill>
            <w14:solidFill>
              <w14:schemeClr w14:val="tx1"/>
            </w14:solidFill>
          </w14:textFill>
        </w:rPr>
        <w:t xml:space="preserve">abril, en </w:t>
      </w:r>
      <w:r>
        <w:rPr>
          <w:rFonts w:hint="default" w:ascii="Arial" w:hAnsi="Arial" w:eastAsia="MS Mincho" w:cs="Arial"/>
          <w:color w:val="000000" w:themeColor="text1"/>
          <w:sz w:val="26"/>
          <w:szCs w:val="26"/>
          <w:lang w:val="es-MX" w:eastAsia="es-ES"/>
          <w14:textFill>
            <w14:solidFill>
              <w14:schemeClr w14:val="tx1"/>
            </w14:solidFill>
          </w14:textFill>
        </w:rPr>
        <w:t>Guadalajara</w:t>
      </w:r>
      <w:r>
        <w:rPr>
          <w:rFonts w:ascii="Arial" w:hAnsi="Arial" w:eastAsia="MS Mincho" w:cs="Arial"/>
          <w:color w:val="000000" w:themeColor="text1"/>
          <w:sz w:val="26"/>
          <w:szCs w:val="26"/>
          <w:lang w:eastAsia="es-ES"/>
          <w14:textFill>
            <w14:solidFill>
              <w14:schemeClr w14:val="tx1"/>
            </w14:solidFill>
          </w14:textFill>
        </w:rPr>
        <w:t xml:space="preserve">, </w:t>
      </w:r>
      <w:r>
        <w:rPr>
          <w:rFonts w:hint="default" w:ascii="Arial" w:hAnsi="Arial" w:eastAsia="MS Mincho" w:cs="Arial"/>
          <w:color w:val="000000" w:themeColor="text1"/>
          <w:sz w:val="26"/>
          <w:szCs w:val="26"/>
          <w:lang w:val="es-MX" w:eastAsia="es-ES"/>
          <w14:textFill>
            <w14:solidFill>
              <w14:schemeClr w14:val="tx1"/>
            </w14:solidFill>
          </w14:textFill>
        </w:rPr>
        <w:t>Jalisco</w:t>
      </w:r>
      <w:r>
        <w:rPr>
          <w:rFonts w:ascii="Arial" w:hAnsi="Arial" w:eastAsia="MS Mincho" w:cs="Arial"/>
          <w:color w:val="000000" w:themeColor="text1"/>
          <w:sz w:val="26"/>
          <w:szCs w:val="26"/>
          <w:lang w:eastAsia="es-ES"/>
          <w14:textFill>
            <w14:solidFill>
              <w14:schemeClr w14:val="tx1"/>
            </w14:solidFill>
          </w14:textFill>
        </w:rPr>
        <w:t>.</w:t>
      </w:r>
    </w:p>
    <w:p w14:paraId="6939138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584E1D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3</w:t>
      </w:r>
      <w:r>
        <w:rPr>
          <w:rFonts w:ascii="Arial" w:hAnsi="Arial" w:eastAsia="MS Mincho" w:cs="Arial"/>
          <w:color w:val="000000" w:themeColor="text1"/>
          <w:sz w:val="26"/>
          <w:szCs w:val="26"/>
          <w:lang w:eastAsia="es-ES"/>
          <w14:textFill>
            <w14:solidFill>
              <w14:schemeClr w14:val="tx1"/>
            </w14:solidFill>
          </w14:textFill>
        </w:rPr>
        <w:t xml:space="preserve">. Asimismo, se programaron </w:t>
      </w:r>
      <w:r>
        <w:rPr>
          <w:rFonts w:ascii="Arial" w:hAnsi="Arial" w:eastAsia="MS Mincho" w:cs="Arial"/>
          <w:b/>
          <w:bCs/>
          <w:color w:val="000000" w:themeColor="text1"/>
          <w:sz w:val="26"/>
          <w:szCs w:val="26"/>
          <w:lang w:eastAsia="es-ES"/>
          <w14:textFill>
            <w14:solidFill>
              <w14:schemeClr w14:val="tx1"/>
            </w14:solidFill>
          </w14:textFill>
        </w:rPr>
        <w:t xml:space="preserve">32 Diálogos Estatales </w:t>
      </w:r>
      <w:r>
        <w:rPr>
          <w:rFonts w:ascii="Arial" w:hAnsi="Arial" w:eastAsia="MS Mincho" w:cs="Arial"/>
          <w:color w:val="000000" w:themeColor="text1"/>
          <w:sz w:val="26"/>
          <w:szCs w:val="26"/>
          <w:lang w:eastAsia="es-ES"/>
          <w14:textFill>
            <w14:solidFill>
              <w14:schemeClr w14:val="tx1"/>
            </w14:solidFill>
          </w14:textFill>
        </w:rPr>
        <w:t>conforme a la tabla siguiente:</w:t>
      </w:r>
    </w:p>
    <w:p w14:paraId="360EEEC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486"/>
        <w:gridCol w:w="1555"/>
        <w:gridCol w:w="2104"/>
      </w:tblGrid>
      <w:tr w14:paraId="1F88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04" w:type="pct"/>
            <w:tcBorders>
              <w:top w:val="single" w:color="000000" w:sz="8" w:space="0"/>
              <w:left w:val="single" w:color="000000" w:sz="8" w:space="0"/>
              <w:bottom w:val="single" w:color="000000" w:sz="8" w:space="0"/>
              <w:right w:val="dotted" w:color="auto" w:sz="4" w:space="0"/>
            </w:tcBorders>
            <w:shd w:val="clear" w:color="auto" w:fill="000000"/>
            <w:vAlign w:val="center"/>
          </w:tcPr>
          <w:p w14:paraId="47E69615">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Diálogo</w:t>
            </w:r>
          </w:p>
        </w:tc>
        <w:tc>
          <w:tcPr>
            <w:tcW w:w="1373" w:type="pct"/>
            <w:tcBorders>
              <w:top w:val="single" w:color="000000" w:sz="8" w:space="0"/>
              <w:left w:val="dotted" w:color="auto" w:sz="4" w:space="0"/>
              <w:bottom w:val="single" w:color="000000" w:sz="8" w:space="0"/>
              <w:right w:val="dotted" w:color="auto" w:sz="4" w:space="0"/>
            </w:tcBorders>
            <w:shd w:val="clear" w:color="auto" w:fill="000000"/>
            <w:vAlign w:val="center"/>
          </w:tcPr>
          <w:p w14:paraId="35006EF2">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Diputado (a) que organizó</w:t>
            </w:r>
          </w:p>
        </w:tc>
        <w:tc>
          <w:tcPr>
            <w:tcW w:w="859" w:type="pct"/>
            <w:tcBorders>
              <w:top w:val="single" w:color="000000" w:sz="8" w:space="0"/>
              <w:left w:val="dotted" w:color="auto" w:sz="4" w:space="0"/>
              <w:bottom w:val="single" w:color="000000" w:sz="8" w:space="0"/>
              <w:right w:val="dotted" w:color="auto" w:sz="4" w:space="0"/>
            </w:tcBorders>
            <w:shd w:val="clear" w:color="auto" w:fill="000000"/>
            <w:vAlign w:val="center"/>
          </w:tcPr>
          <w:p w14:paraId="674EC437">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Fecha</w:t>
            </w:r>
          </w:p>
        </w:tc>
        <w:tc>
          <w:tcPr>
            <w:tcW w:w="1162" w:type="pct"/>
            <w:tcBorders>
              <w:top w:val="single" w:color="000000" w:sz="8" w:space="0"/>
              <w:left w:val="dotted" w:color="auto" w:sz="4" w:space="0"/>
              <w:bottom w:val="single" w:color="000000" w:sz="8" w:space="0"/>
              <w:right w:val="single" w:color="000000" w:sz="8" w:space="0"/>
            </w:tcBorders>
            <w:shd w:val="clear" w:color="auto" w:fill="000000"/>
            <w:vAlign w:val="center"/>
          </w:tcPr>
          <w:p w14:paraId="4ADEE77B">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Entidad federativa</w:t>
            </w:r>
          </w:p>
        </w:tc>
      </w:tr>
      <w:tr w14:paraId="2082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C446D1D">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Reformas al régimen de pensiones ISSSTE-Ley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77A82B0">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Angélica Ivonne Cisneros Luján</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D42EECF">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14</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E2F2468">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Veracruz</w:t>
            </w:r>
          </w:p>
        </w:tc>
      </w:tr>
      <w:tr w14:paraId="21A4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65DC0AD">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Reformas a la Guardia Nacional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FE98B1F">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Juanita Guerra Mena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D384907">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15</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9E4653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Morelos</w:t>
            </w:r>
          </w:p>
        </w:tc>
      </w:tr>
      <w:tr w14:paraId="739F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DBD2FF7">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Organismos constitucionales autónomos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C46ED3D">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Ramiro Robledo Ruiz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22C1F3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21</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D4CD11E">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San Luis Potosí</w:t>
            </w:r>
          </w:p>
        </w:tc>
      </w:tr>
      <w:tr w14:paraId="0500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0E670F2">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Internet y CFE</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4DF21F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Manuel Rodríguez González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EF2628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21</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F4482D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Tabasco</w:t>
            </w:r>
          </w:p>
        </w:tc>
      </w:tr>
      <w:tr w14:paraId="6DC5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3075F18">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Autonomía y Libertad Indígena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D90531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Irma Juan Carlos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22531F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7DB583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Oaxaca</w:t>
            </w:r>
          </w:p>
        </w:tc>
      </w:tr>
      <w:tr w14:paraId="3EDC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20D54AB">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Ferrocarriles para el transporte de pasajeros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2A4B0D2F">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Reginaldo Sandoval Flores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2821380">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4</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42F79D1D">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Michoacán</w:t>
            </w:r>
          </w:p>
        </w:tc>
      </w:tr>
      <w:tr w14:paraId="0FA9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DF4B2DA">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electoral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C374B4E">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Graciela Sánchez Ortiz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97C1E4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5</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269174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Tlaxcala</w:t>
            </w:r>
          </w:p>
        </w:tc>
      </w:tr>
      <w:tr w14:paraId="6DFA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0AB2FF5">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56C314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Ana Karina Rojo Pimentel</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6D193D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5</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4193D1CE">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Sinaloa</w:t>
            </w:r>
          </w:p>
        </w:tc>
      </w:tr>
      <w:tr w14:paraId="5339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3EC4123">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0AEF14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Gabriela Sodi</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581334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6</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1D7076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Quintana Roo</w:t>
            </w:r>
          </w:p>
        </w:tc>
      </w:tr>
      <w:tr w14:paraId="3FA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3FBA3DB">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Reformas a la Guardia Nacional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23841AD3">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Ricardo Villareal García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A42AA9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8</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9409BC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Guanajuato</w:t>
            </w:r>
          </w:p>
        </w:tc>
      </w:tr>
      <w:tr w14:paraId="02DF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998F7D8">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Sistema de Vivienda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D130C3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Lilia Aguilar Gil</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15011F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8</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C9E34D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Chihuahua</w:t>
            </w:r>
          </w:p>
        </w:tc>
      </w:tr>
      <w:tr w14:paraId="7AF0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342C2B7">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Maíz transgénico, fracking, minería, agua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EE5DD9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 de Jesús Aguirre Maldonado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FE57D2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10</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CE18E5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Nuevo León</w:t>
            </w:r>
          </w:p>
        </w:tc>
      </w:tr>
      <w:tr w14:paraId="4E06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3BC8D88">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22DC25B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Marcos Rosendo Medina Filigrana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11E11E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90B99E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Tamaulipas</w:t>
            </w:r>
          </w:p>
        </w:tc>
      </w:tr>
      <w:tr w14:paraId="1A93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AE15CC0">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Jóvenes construyendo el futuro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F0CC91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Karla Ayala Villalobos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5BEACB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87FA4A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Ciudad de México</w:t>
            </w:r>
          </w:p>
        </w:tc>
      </w:tr>
      <w:tr w14:paraId="6E5C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BC68A8A">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 en materia de remuneraciones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9EBF60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Luis Armando Melgar Bravo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550153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4D9D2D5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Chiapas</w:t>
            </w:r>
          </w:p>
        </w:tc>
      </w:tr>
      <w:tr w14:paraId="23DE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D2CF6E6">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Inclusión laboral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D5D27B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Luis Armando Melgar Bravo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0A6E23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05B3CC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Chiapas</w:t>
            </w:r>
          </w:p>
        </w:tc>
      </w:tr>
      <w:tr w14:paraId="0814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EE92C21">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y bienestar animal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EC3F68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Karen Castrejón Trujillo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7664FE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11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6F7F46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Guerrero</w:t>
            </w:r>
          </w:p>
        </w:tc>
      </w:tr>
      <w:tr w14:paraId="03A6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5F44116">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Vapeadores y fentanilo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6A1119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Jorge Ernesto Isunza Armas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56FFCE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11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35F097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Estado de México</w:t>
            </w:r>
          </w:p>
        </w:tc>
      </w:tr>
      <w:tr w14:paraId="3D8F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10B9A2F">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Reducción de la Jornada Laboral</w:t>
            </w:r>
          </w:p>
          <w:p w14:paraId="1DE7F99C">
            <w:pPr>
              <w:spacing w:after="0" w:line="240" w:lineRule="auto"/>
              <w:jc w:val="center"/>
              <w:rPr>
                <w:rFonts w:hint="default" w:ascii="Arial Narrow" w:hAnsi="Arial Narrow" w:cs="Arial Narrow" w:eastAsiaTheme="minorHAnsi"/>
                <w:i/>
                <w:iCs/>
                <w:color w:val="000000"/>
                <w:sz w:val="26"/>
                <w:szCs w:val="26"/>
                <w:lang w:val="es-MX" w:eastAsia="en-US" w:bidi="ar-SA"/>
              </w:rPr>
            </w:pP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EC9C7F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390487B">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12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160AB1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Baja California</w:t>
            </w:r>
          </w:p>
        </w:tc>
      </w:tr>
      <w:tr w14:paraId="7607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EDE7E85">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Atención médica y salud</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54CCDE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Emmanuel Reyes Carmona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8E4734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2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43A9BBE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Colima</w:t>
            </w:r>
          </w:p>
        </w:tc>
      </w:tr>
      <w:tr w14:paraId="6670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31AE32A">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del salario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AE4BFC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8B7DFF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5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A25BC3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Baja California</w:t>
            </w:r>
          </w:p>
        </w:tc>
      </w:tr>
      <w:tr w14:paraId="5300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3E97724">
            <w:pPr>
              <w:spacing w:after="0" w:line="240" w:lineRule="auto"/>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Atención médica y salud</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8B2CBB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Emmanuel Reyes Carmona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6061C57B">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5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85C536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Guanajuato</w:t>
            </w:r>
          </w:p>
        </w:tc>
      </w:tr>
      <w:tr w14:paraId="3CAA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3850760">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del salario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A55B46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74C241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7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035C0D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Sonora</w:t>
            </w:r>
          </w:p>
        </w:tc>
      </w:tr>
      <w:tr w14:paraId="666F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23A99F1">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 al régimen del Poder Judicial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A6B688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Juan Ramiro Robledo Ruiz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6F427DA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18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A80D04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Puebla</w:t>
            </w:r>
          </w:p>
        </w:tc>
      </w:tr>
      <w:tr w14:paraId="6120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46B593B">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Organismos constitucionales autónomos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A3E0EF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Carlos Romero Hicks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214F60F">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93EF827">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Aguascalientes</w:t>
            </w:r>
          </w:p>
        </w:tc>
      </w:tr>
      <w:tr w14:paraId="5F66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3C53F2D">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Extorsión, fentanilo, factureras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C051833">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AF8A31C">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24006C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Querétaro</w:t>
            </w:r>
          </w:p>
        </w:tc>
      </w:tr>
      <w:tr w14:paraId="53E8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82B1C65">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al régimen de pensiones del IMSS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8D56C8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Marcos Rosendo Medina Filigrana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5274D8E">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734E87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Coahuila</w:t>
            </w:r>
          </w:p>
        </w:tc>
      </w:tr>
      <w:tr w14:paraId="1FE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7F80913">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electoral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0009CD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Alejandro Moreno Cárdenas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594675C">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3890F4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Durango</w:t>
            </w:r>
          </w:p>
        </w:tc>
      </w:tr>
      <w:tr w14:paraId="1694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B5F67C0">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al régimen del Poder Judicial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7888BA5">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F666AFA">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393BD1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Yucatán</w:t>
            </w:r>
          </w:p>
        </w:tc>
      </w:tr>
      <w:tr w14:paraId="287F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A17B23C">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Simplificación orgánica-Ley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2F5745D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Alejandro Moreno Cárdenas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12B898A">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A3E91FF">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Campeche</w:t>
            </w:r>
          </w:p>
        </w:tc>
      </w:tr>
      <w:tr w14:paraId="0000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BB72644">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Simplificación orgánica-Ley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0EA38D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Carlos Romero Hicks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4860921">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5A85C18">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Nayarit</w:t>
            </w:r>
          </w:p>
        </w:tc>
      </w:tr>
      <w:tr w14:paraId="5365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24" w:space="0"/>
              <w:left w:val="single" w:color="000000" w:sz="8" w:space="0"/>
              <w:bottom w:val="single" w:color="000000" w:sz="8" w:space="0"/>
              <w:right w:val="dotted" w:color="auto" w:sz="4" w:space="0"/>
            </w:tcBorders>
            <w:shd w:val="clear" w:color="auto" w:fill="FFFFFF"/>
            <w:vAlign w:val="center"/>
          </w:tcPr>
          <w:p w14:paraId="6967E7E4">
            <w:pPr>
              <w:spacing w:after="0" w:line="240" w:lineRule="auto"/>
              <w:jc w:val="center"/>
              <w:rPr>
                <w:rFonts w:hint="default" w:ascii="Arial Narrow" w:hAnsi="Arial Narrow" w:cs="Arial Narrow"/>
                <w:color w:val="000000"/>
                <w:sz w:val="26"/>
                <w:szCs w:val="26"/>
              </w:rPr>
            </w:pPr>
            <w:r>
              <w:rPr>
                <w:rFonts w:hint="default" w:ascii="Arial Narrow" w:hAnsi="Arial Narrow" w:cs="Arial Narrow"/>
                <w:i/>
                <w:iCs/>
                <w:color w:val="000000"/>
                <w:sz w:val="26"/>
                <w:szCs w:val="26"/>
              </w:rPr>
              <w:t>Reforma en materia de control constitucional</w:t>
            </w:r>
          </w:p>
        </w:tc>
        <w:tc>
          <w:tcPr>
            <w:tcW w:w="1373" w:type="pct"/>
            <w:tcBorders>
              <w:top w:val="single" w:color="000000" w:sz="24" w:space="0"/>
              <w:left w:val="dotted" w:color="auto" w:sz="4" w:space="0"/>
              <w:bottom w:val="single" w:color="000000" w:sz="8" w:space="0"/>
              <w:right w:val="dotted" w:color="auto" w:sz="4" w:space="0"/>
            </w:tcBorders>
            <w:shd w:val="clear" w:color="auto" w:fill="FFFFFF"/>
            <w:vAlign w:val="center"/>
          </w:tcPr>
          <w:p w14:paraId="0816B92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24" w:space="0"/>
              <w:left w:val="dotted" w:color="auto" w:sz="4" w:space="0"/>
              <w:bottom w:val="single" w:color="000000" w:sz="8" w:space="0"/>
              <w:right w:val="dotted" w:color="auto" w:sz="4" w:space="0"/>
            </w:tcBorders>
            <w:shd w:val="clear" w:color="auto" w:fill="FFFFFF"/>
            <w:vAlign w:val="center"/>
          </w:tcPr>
          <w:p w14:paraId="5CC17AD7">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24" w:space="0"/>
              <w:left w:val="dotted" w:color="auto" w:sz="4" w:space="0"/>
              <w:bottom w:val="single" w:color="000000" w:sz="8" w:space="0"/>
              <w:right w:val="single" w:color="000000" w:sz="8" w:space="0"/>
            </w:tcBorders>
            <w:shd w:val="clear" w:color="auto" w:fill="FFFFFF"/>
            <w:vAlign w:val="center"/>
          </w:tcPr>
          <w:p w14:paraId="1ACD0FF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Jalisco</w:t>
            </w:r>
          </w:p>
        </w:tc>
      </w:tr>
    </w:tbl>
    <w:p w14:paraId="48FCCBC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5988CA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En los diálogos estatales </w:t>
      </w:r>
      <w:r>
        <w:rPr>
          <w:rFonts w:hint="default" w:ascii="Arial" w:hAnsi="Arial" w:eastAsia="MS Mincho" w:cs="Arial"/>
          <w:color w:val="000000" w:themeColor="text1"/>
          <w:sz w:val="26"/>
          <w:szCs w:val="26"/>
          <w:lang w:val="es-MX" w:eastAsia="es-ES"/>
          <w14:textFill>
            <w14:solidFill>
              <w14:schemeClr w14:val="tx1"/>
            </w14:solidFill>
          </w14:textFill>
        </w:rPr>
        <w:t xml:space="preserve">llevados a efecto </w:t>
      </w:r>
      <w:r>
        <w:rPr>
          <w:rFonts w:ascii="Arial" w:hAnsi="Arial" w:eastAsia="MS Mincho" w:cs="Arial"/>
          <w:color w:val="000000" w:themeColor="text1"/>
          <w:sz w:val="26"/>
          <w:szCs w:val="26"/>
          <w:lang w:eastAsia="es-ES"/>
          <w14:textFill>
            <w14:solidFill>
              <w14:schemeClr w14:val="tx1"/>
            </w14:solidFill>
          </w14:textFill>
        </w:rPr>
        <w:t>se abordó el análisis de las iniciativas vinculadas a sus temas centrales.</w:t>
      </w:r>
    </w:p>
    <w:p w14:paraId="52223E3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1FC40B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Los temas, ponentes, documentos, opiniones y datos correspondientes se pueden consultar en el micrositio: </w:t>
      </w:r>
      <w:r>
        <w:fldChar w:fldCharType="begin"/>
      </w:r>
      <w:r>
        <w:instrText xml:space="preserve"> HYPERLINK "https://reformasconstitucionales.diputados.gob.mx/" </w:instrText>
      </w:r>
      <w:r>
        <w:fldChar w:fldCharType="separate"/>
      </w:r>
      <w:r>
        <w:rPr>
          <w:rStyle w:val="4"/>
          <w:rFonts w:ascii="Arial" w:hAnsi="Arial" w:eastAsia="MS Mincho" w:cs="Arial"/>
          <w:sz w:val="26"/>
          <w:szCs w:val="26"/>
          <w:lang w:eastAsia="es-ES"/>
        </w:rPr>
        <w:t>https://reformasconstitucionales.diputados.gob.mx/</w:t>
      </w:r>
      <w:r>
        <w:rPr>
          <w:rStyle w:val="4"/>
          <w:rFonts w:ascii="Arial" w:hAnsi="Arial" w:eastAsia="MS Mincho" w:cs="Arial"/>
          <w:sz w:val="26"/>
          <w:szCs w:val="26"/>
          <w:lang w:eastAsia="es-ES"/>
        </w:rPr>
        <w:fldChar w:fldCharType="end"/>
      </w:r>
      <w:r>
        <w:rPr>
          <w:rFonts w:ascii="Arial" w:hAnsi="Arial" w:eastAsia="MS Mincho" w:cs="Arial"/>
          <w:color w:val="000000" w:themeColor="text1"/>
          <w:sz w:val="26"/>
          <w:szCs w:val="26"/>
          <w:lang w:eastAsia="es-ES"/>
          <w14:textFill>
            <w14:solidFill>
              <w14:schemeClr w14:val="tx1"/>
            </w14:solidFill>
          </w14:textFill>
        </w:rPr>
        <w:t xml:space="preserve"> </w:t>
      </w:r>
    </w:p>
    <w:p w14:paraId="578B202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FA00C17">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Acuerdo para el procesamiento de las reformas</w:t>
      </w:r>
      <w:r>
        <w:rPr>
          <w:rFonts w:ascii="Arial" w:hAnsi="Arial" w:eastAsia="MS Mincho" w:cs="Arial"/>
          <w:color w:val="000000" w:themeColor="text1"/>
          <w:sz w:val="26"/>
          <w:szCs w:val="26"/>
          <w:lang w:eastAsia="es-ES"/>
          <w14:textFill>
            <w14:solidFill>
              <w14:schemeClr w14:val="tx1"/>
            </w14:solidFill>
          </w14:textFill>
        </w:rPr>
        <w:t xml:space="preserve">. El 14 de marzo del año en curso, en reunión de la Comisión de Puntos Constitucionales, se aprobó con modificaciones el </w:t>
      </w:r>
      <w:r>
        <w:rPr>
          <w:rFonts w:ascii="Arial" w:hAnsi="Arial" w:eastAsia="MS Mincho" w:cs="Arial"/>
          <w:i/>
          <w:iCs/>
          <w:color w:val="000000" w:themeColor="text1"/>
          <w:sz w:val="26"/>
          <w:szCs w:val="26"/>
          <w:lang w:eastAsia="es-ES"/>
          <w14:textFill>
            <w14:solidFill>
              <w14:schemeClr w14:val="tx1"/>
            </w14:solidFill>
          </w14:textFill>
        </w:rPr>
        <w:t>Acuerdo para la discusión interna de las iniciativas de reforma constitucional</w:t>
      </w:r>
      <w:r>
        <w:rPr>
          <w:rFonts w:ascii="Arial" w:hAnsi="Arial" w:eastAsia="MS Mincho" w:cs="Arial"/>
          <w:color w:val="000000" w:themeColor="text1"/>
          <w:sz w:val="26"/>
          <w:szCs w:val="26"/>
          <w:lang w:eastAsia="es-ES"/>
          <w14:textFill>
            <w14:solidFill>
              <w14:schemeClr w14:val="tx1"/>
            </w14:solidFill>
          </w14:textFill>
        </w:rPr>
        <w:t xml:space="preserve">, en el cual se previeron las bases para integrar las opiniones, información de los Foros a que se refiere el punto anterior; la recepción de aportaciones y opiniones de las y los Diputados vinculados a las iniciativas, y la integración de las iniciativas que guardaran conexidad  entre sí y que son materia de este dictamen. </w:t>
      </w:r>
    </w:p>
    <w:p w14:paraId="7C737807">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6677896">
      <w:pPr>
        <w:jc w:val="both"/>
      </w:pPr>
      <w:r>
        <w:rPr>
          <w:rFonts w:ascii="Arial" w:hAnsi="Arial" w:eastAsia="MS Mincho" w:cs="Arial"/>
          <w:color w:val="000000" w:themeColor="text1"/>
          <w:sz w:val="26"/>
          <w:szCs w:val="26"/>
          <w:lang w:eastAsia="es-ES"/>
          <w14:textFill>
            <w14:solidFill>
              <w14:schemeClr w14:val="tx1"/>
            </w14:solidFill>
          </w14:textFill>
        </w:rPr>
        <w:t xml:space="preserve">La liga a la Gaceta Parlamentaria de 26 de marzo, en la cual se puede consultar el Acuerdo es: </w:t>
      </w:r>
      <w:r>
        <w:fldChar w:fldCharType="begin"/>
      </w:r>
      <w:r>
        <w:instrText xml:space="preserve"> HYPERLINK "https://gaceta.diputados.gob.mx/PDF/65/2024/mar/20240326.pdf" </w:instrText>
      </w:r>
      <w:r>
        <w:fldChar w:fldCharType="separate"/>
      </w:r>
      <w:r>
        <w:rPr>
          <w:rStyle w:val="4"/>
          <w:rFonts w:ascii="Arial" w:hAnsi="Arial" w:eastAsia="MS Mincho"/>
          <w:color w:val="000000" w:themeColor="text1"/>
          <w:sz w:val="26"/>
          <w:szCs w:val="26"/>
          <w:lang w:eastAsia="es-ES"/>
          <w14:textFill>
            <w14:solidFill>
              <w14:schemeClr w14:val="tx1"/>
            </w14:solidFill>
          </w14:textFill>
        </w:rPr>
        <w:t>https://gaceta.diputados.gob.mx/PDF/65/2024/mar/20240326.pdf</w:t>
      </w:r>
      <w:r>
        <w:rPr>
          <w:rStyle w:val="4"/>
          <w:rFonts w:ascii="Arial" w:hAnsi="Arial" w:eastAsia="MS Mincho"/>
          <w:color w:val="000000" w:themeColor="text1"/>
          <w:sz w:val="26"/>
          <w:szCs w:val="26"/>
          <w:lang w:eastAsia="es-ES"/>
          <w14:textFill>
            <w14:solidFill>
              <w14:schemeClr w14:val="tx1"/>
            </w14:solidFill>
          </w14:textFill>
        </w:rPr>
        <w:fldChar w:fldCharType="end"/>
      </w:r>
    </w:p>
    <w:p w14:paraId="2D9988E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988042B">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B. CONTENIDO DE LAS INICIATIVAS</w:t>
      </w:r>
    </w:p>
    <w:p w14:paraId="6393BDEB">
      <w:pPr>
        <w:spacing w:after="0" w:line="240" w:lineRule="auto"/>
        <w:jc w:val="both"/>
        <w:rPr>
          <w:rFonts w:ascii="Arial" w:hAnsi="Arial" w:cs="Arial"/>
          <w:color w:val="000000" w:themeColor="text1"/>
          <w:sz w:val="26"/>
          <w:szCs w:val="26"/>
          <w14:textFill>
            <w14:solidFill>
              <w14:schemeClr w14:val="tx1"/>
            </w14:solidFill>
          </w14:textFill>
        </w:rPr>
      </w:pPr>
    </w:p>
    <w:p w14:paraId="29AFD346">
      <w:pPr>
        <w:spacing w:after="0" w:line="240" w:lineRule="auto"/>
        <w:jc w:val="both"/>
        <w:rPr>
          <w:rFonts w:ascii="Arial" w:hAnsi="Arial" w:cs="Arial"/>
          <w:color w:val="000000" w:themeColor="text1"/>
          <w:sz w:val="26"/>
          <w:szCs w:val="26"/>
          <w14:textFill>
            <w14:solidFill>
              <w14:schemeClr w14:val="tx1"/>
            </w14:solidFill>
          </w14:textFill>
        </w:rPr>
      </w:pPr>
      <w:r>
        <w:rPr>
          <w:rFonts w:ascii="Arial" w:hAnsi="Arial" w:cs="Arial"/>
          <w:color w:val="000000" w:themeColor="text1"/>
          <w:sz w:val="26"/>
          <w:szCs w:val="26"/>
          <w14:textFill>
            <w14:solidFill>
              <w14:schemeClr w14:val="tx1"/>
            </w14:solidFill>
          </w14:textFill>
        </w:rPr>
        <w:t xml:space="preserve">I. La iniciativa presentada por el Presidente de la República propone </w:t>
      </w:r>
      <w:r>
        <w:rPr>
          <w:rFonts w:ascii="Arial" w:hAnsi="Arial" w:eastAsia="MS Mincho" w:cs="Arial"/>
          <w:color w:val="000000" w:themeColor="text1"/>
          <w:sz w:val="26"/>
          <w:szCs w:val="26"/>
          <w:lang w:eastAsia="es-ES"/>
          <w14:textFill>
            <w14:solidFill>
              <w14:schemeClr w14:val="tx1"/>
            </w14:solidFill>
          </w14:textFill>
        </w:rPr>
        <w:t>la modificación del Artículo 123 de la Constitución Política de los Estados Unidos Mexicanos, en materia de salarios</w:t>
      </w:r>
      <w:r>
        <w:rPr>
          <w:rFonts w:ascii="Arial" w:hAnsi="Arial" w:cs="Arial"/>
          <w:color w:val="000000" w:themeColor="text1"/>
          <w:sz w:val="26"/>
          <w:szCs w:val="26"/>
          <w14:textFill>
            <w14:solidFill>
              <w14:schemeClr w14:val="tx1"/>
            </w14:solidFill>
          </w14:textFill>
        </w:rPr>
        <w:t>, sobre la base de los argumentos resumidos siguientes:</w:t>
      </w:r>
    </w:p>
    <w:p w14:paraId="77770412">
      <w:pPr>
        <w:spacing w:after="0" w:line="240" w:lineRule="auto"/>
        <w:jc w:val="both"/>
        <w:rPr>
          <w:rFonts w:ascii="Arial" w:hAnsi="Arial"/>
          <w:color w:val="000000" w:themeColor="text1"/>
          <w:sz w:val="26"/>
          <w:szCs w:val="26"/>
          <w:lang w:eastAsia="es-ES"/>
          <w14:textFill>
            <w14:solidFill>
              <w14:schemeClr w14:val="tx1"/>
            </w14:solidFill>
          </w14:textFill>
        </w:rPr>
      </w:pPr>
    </w:p>
    <w:p w14:paraId="06E050B6">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Durante la presente Administración, el Gobierno de México ha establecido una nueva política de aumentos al salario mínimo, lo que ha significado su crecimiento en más de 100% en términos reales, pasando de 88.36 pesos diarios que recibía la base trabajadora en 2018 a 248.93 pesos diarios en 2024.</w:t>
      </w:r>
    </w:p>
    <w:p w14:paraId="014C28D2">
      <w:pPr>
        <w:spacing w:after="0" w:line="240" w:lineRule="auto"/>
        <w:jc w:val="both"/>
        <w:rPr>
          <w:rFonts w:ascii="Arial" w:hAnsi="Arial"/>
          <w:color w:val="000000" w:themeColor="text1"/>
          <w:sz w:val="26"/>
          <w:szCs w:val="26"/>
          <w:lang w:eastAsia="es-ES"/>
          <w14:textFill>
            <w14:solidFill>
              <w14:schemeClr w14:val="tx1"/>
            </w14:solidFill>
          </w14:textFill>
        </w:rPr>
      </w:pPr>
    </w:p>
    <w:p w14:paraId="5F75D1F9">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De acuerdo con cifras de la Comisión Nacional de los Salarios Mínimos (CONASAMI), en 36 años no se habían registrado aumentos en los salarios mínimos como en los últimos 5 años.</w:t>
      </w:r>
    </w:p>
    <w:p w14:paraId="7EBDEC7F">
      <w:pPr>
        <w:spacing w:after="0" w:line="240" w:lineRule="auto"/>
        <w:jc w:val="both"/>
        <w:rPr>
          <w:rFonts w:ascii="Arial" w:hAnsi="Arial"/>
          <w:color w:val="000000" w:themeColor="text1"/>
          <w:sz w:val="26"/>
          <w:szCs w:val="26"/>
          <w:lang w:eastAsia="es-ES"/>
          <w14:textFill>
            <w14:solidFill>
              <w14:schemeClr w14:val="tx1"/>
            </w14:solidFill>
          </w14:textFill>
        </w:rPr>
      </w:pPr>
    </w:p>
    <w:p w14:paraId="1E415593">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La actual política de salarios mínimos ha contribuido a dignificar el salario mínimo, así como a garantizar un piso de bienestar mínimo para las familias de las y los trabajadores que menos ganan.</w:t>
      </w:r>
    </w:p>
    <w:p w14:paraId="51301B59">
      <w:pPr>
        <w:spacing w:after="0" w:line="240" w:lineRule="auto"/>
        <w:jc w:val="both"/>
        <w:rPr>
          <w:rFonts w:ascii="Arial" w:hAnsi="Arial"/>
          <w:color w:val="000000" w:themeColor="text1"/>
          <w:sz w:val="26"/>
          <w:szCs w:val="26"/>
          <w:lang w:eastAsia="es-ES"/>
          <w14:textFill>
            <w14:solidFill>
              <w14:schemeClr w14:val="tx1"/>
            </w14:solidFill>
          </w14:textFill>
        </w:rPr>
      </w:pPr>
    </w:p>
    <w:p w14:paraId="53081290">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presente sexenio se ha caracterizado por los incrementos a los salarios mínimos que se han llevado a cabo de manera sustancial, gradual, responsable y en consenso con el sector privado.</w:t>
      </w:r>
    </w:p>
    <w:p w14:paraId="1DEAF3E9">
      <w:pPr>
        <w:spacing w:after="0" w:line="240" w:lineRule="auto"/>
        <w:jc w:val="both"/>
        <w:rPr>
          <w:rFonts w:ascii="Arial" w:hAnsi="Arial"/>
          <w:color w:val="000000" w:themeColor="text1"/>
          <w:sz w:val="26"/>
          <w:szCs w:val="26"/>
          <w:lang w:eastAsia="es-ES"/>
          <w14:textFill>
            <w14:solidFill>
              <w14:schemeClr w14:val="tx1"/>
            </w14:solidFill>
          </w14:textFill>
        </w:rPr>
      </w:pPr>
    </w:p>
    <w:p w14:paraId="3C4DD50F">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En 2019, el incremento al salario mínimo general nacional fue de 16.2%, en 2020 de 20%, en 2021 de 15%, en 2022 de 22% y en 2023 y 2024 de 20%.</w:t>
      </w:r>
    </w:p>
    <w:p w14:paraId="4AF98FBC">
      <w:pPr>
        <w:spacing w:after="0" w:line="240" w:lineRule="auto"/>
        <w:jc w:val="both"/>
        <w:rPr>
          <w:rFonts w:ascii="Arial" w:hAnsi="Arial"/>
          <w:color w:val="000000" w:themeColor="text1"/>
          <w:sz w:val="26"/>
          <w:szCs w:val="26"/>
          <w:lang w:eastAsia="es-ES"/>
          <w14:textFill>
            <w14:solidFill>
              <w14:schemeClr w14:val="tx1"/>
            </w14:solidFill>
          </w14:textFill>
        </w:rPr>
      </w:pPr>
    </w:p>
    <w:p w14:paraId="4E13FEF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Se creó la Zona Libre de la Frontera Norte, donde los incrementos fueron de 100% en 2019, 5% en 2020, 15% en 2021, 22% en 2022 y de 20% en 2023 y 2024.</w:t>
      </w:r>
    </w:p>
    <w:p w14:paraId="512EBE45">
      <w:pPr>
        <w:spacing w:after="0" w:line="240" w:lineRule="auto"/>
        <w:jc w:val="both"/>
        <w:rPr>
          <w:rFonts w:ascii="Arial" w:hAnsi="Arial"/>
          <w:color w:val="000000" w:themeColor="text1"/>
          <w:sz w:val="26"/>
          <w:szCs w:val="26"/>
          <w:lang w:eastAsia="es-ES"/>
          <w14:textFill>
            <w14:solidFill>
              <w14:schemeClr w14:val="tx1"/>
            </w14:solidFill>
          </w14:textFill>
        </w:rPr>
      </w:pPr>
    </w:p>
    <w:p w14:paraId="1D08DA9A">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A la fecha, el salario mínimo real ha aumentado 110.18%. Este incremento es significativamente mayor respecto al mismo periodo de los gobiernos de Enrique Peña Nieto (EPN) y Felipe Calderón Hinojosa (FCH), los cuales se situaron en -6.19% y 11.95%, respectivamente.</w:t>
      </w:r>
    </w:p>
    <w:p w14:paraId="49805D18">
      <w:pPr>
        <w:spacing w:after="0" w:line="240" w:lineRule="auto"/>
        <w:jc w:val="both"/>
        <w:rPr>
          <w:rFonts w:ascii="Arial" w:hAnsi="Arial"/>
          <w:color w:val="000000" w:themeColor="text1"/>
          <w:sz w:val="26"/>
          <w:szCs w:val="26"/>
          <w:lang w:eastAsia="es-ES"/>
          <w14:textFill>
            <w14:solidFill>
              <w14:schemeClr w14:val="tx1"/>
            </w14:solidFill>
          </w14:textFill>
        </w:rPr>
      </w:pPr>
    </w:p>
    <w:p w14:paraId="23B14F2E">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La política salarial anterior a este gobierno, privilegió el control de los precios de los productos básicos y un bajo costo de mano de obra, al otorgar al salario mínimo incrementos por debajo de la inflación, reduciendo así el poder adquisitivo de las y los trabajadores y sus familias.</w:t>
      </w:r>
    </w:p>
    <w:p w14:paraId="776260C9">
      <w:pPr>
        <w:spacing w:after="0" w:line="240" w:lineRule="auto"/>
        <w:jc w:val="both"/>
        <w:rPr>
          <w:rFonts w:ascii="Arial" w:hAnsi="Arial"/>
          <w:color w:val="000000" w:themeColor="text1"/>
          <w:sz w:val="26"/>
          <w:szCs w:val="26"/>
          <w:lang w:eastAsia="es-ES"/>
          <w14:textFill>
            <w14:solidFill>
              <w14:schemeClr w14:val="tx1"/>
            </w14:solidFill>
          </w14:textFill>
        </w:rPr>
      </w:pPr>
    </w:p>
    <w:p w14:paraId="060A23B6">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Dicha política derivó en el incremento del número de personas trabajadoras en una situación laboral precaria caracterizada por bajas remuneraciones y falta de prestaciones laborales, sin ser capaces de cubrir sus necesidades básicas y la de sus dependientes.</w:t>
      </w:r>
    </w:p>
    <w:p w14:paraId="20E28F3B">
      <w:pPr>
        <w:spacing w:after="0" w:line="240" w:lineRule="auto"/>
        <w:jc w:val="both"/>
        <w:rPr>
          <w:rFonts w:ascii="Arial" w:hAnsi="Arial"/>
          <w:color w:val="000000" w:themeColor="text1"/>
          <w:sz w:val="26"/>
          <w:szCs w:val="26"/>
          <w:lang w:eastAsia="es-ES"/>
          <w14:textFill>
            <w14:solidFill>
              <w14:schemeClr w14:val="tx1"/>
            </w14:solidFill>
          </w14:textFill>
        </w:rPr>
      </w:pPr>
    </w:p>
    <w:p w14:paraId="148EFA37">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salario mínimo en México pasó de ubicarse como el tercero más alto en Latinoamérica en 1980, a ser el antepenúltimo de la región en 2010, mientras que a escala mundial descendió del lugar 26 al 80 en el mismo periodo.</w:t>
      </w:r>
    </w:p>
    <w:p w14:paraId="130F40A0">
      <w:pPr>
        <w:spacing w:after="0" w:line="240" w:lineRule="auto"/>
        <w:jc w:val="both"/>
        <w:rPr>
          <w:rFonts w:ascii="Arial" w:hAnsi="Arial"/>
          <w:color w:val="000000" w:themeColor="text1"/>
          <w:sz w:val="26"/>
          <w:szCs w:val="26"/>
          <w:lang w:eastAsia="es-ES"/>
          <w14:textFill>
            <w14:solidFill>
              <w14:schemeClr w14:val="tx1"/>
            </w14:solidFill>
          </w14:textFill>
        </w:rPr>
      </w:pPr>
    </w:p>
    <w:p w14:paraId="4E5F1853">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De 1976 a 2016, el salario mínimo en México perdió más del 70% de su poder adquisitivo, con lo que dejó de ser una medida para proteger el ingreso de las personas trabajadoras, incumpliendo con el mandato del artículo 123, Apartado A, fracción VI, segundo párrafo, de la Constitución Política de los Estados Unidos Mexicanos, que señala que los salarios mínimos generales deben ser suficientes para satisfacer las necesidades normales de un jefe de familia, en el orden material, social y cultural, y para proveer a la educación obligatoria de los hijos y que los salarios mínimos profesionales se han de fijar considerando, además, las condiciones de las distintas actividades económicas.</w:t>
      </w:r>
    </w:p>
    <w:p w14:paraId="781CEB10">
      <w:pPr>
        <w:spacing w:after="0" w:line="240" w:lineRule="auto"/>
        <w:jc w:val="both"/>
        <w:rPr>
          <w:rFonts w:ascii="Arial" w:hAnsi="Arial"/>
          <w:color w:val="000000" w:themeColor="text1"/>
          <w:sz w:val="26"/>
          <w:szCs w:val="26"/>
          <w:lang w:eastAsia="es-ES"/>
          <w14:textFill>
            <w14:solidFill>
              <w14:schemeClr w14:val="tx1"/>
            </w14:solidFill>
          </w14:textFill>
        </w:rPr>
      </w:pPr>
    </w:p>
    <w:p w14:paraId="5CF852D5">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Durante el año 2023, el ingreso promedio mensual de las y los trabajadores afiliados al Instituto Mexicano del Seguro Social (IMSS) alcanzó los 16 mil 777 pesos; sin embargo, los salarios de docentes de nivel básico de tiempo completo, policías, guardias nacionales, miembros de la Fuerza Armada permanente, así como médicos y enfermeros, son notablemente inferiores. Esta disparidad salarial evidencia la dificultad que enfrentan estos servidores públicos para obtener una remuneración justa acorde con la labor que desempeñan.</w:t>
      </w:r>
    </w:p>
    <w:p w14:paraId="00093E5B">
      <w:pPr>
        <w:spacing w:after="0" w:line="240" w:lineRule="auto"/>
        <w:jc w:val="both"/>
        <w:rPr>
          <w:rFonts w:ascii="Arial" w:hAnsi="Arial"/>
          <w:color w:val="000000" w:themeColor="text1"/>
          <w:sz w:val="26"/>
          <w:szCs w:val="26"/>
          <w:lang w:eastAsia="es-ES"/>
          <w14:textFill>
            <w14:solidFill>
              <w14:schemeClr w14:val="tx1"/>
            </w14:solidFill>
          </w14:textFill>
        </w:rPr>
      </w:pPr>
    </w:p>
    <w:p w14:paraId="1282E117">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Las maestras y maestros perciben aproximadamente 12 mil 500 pesos al mes; los guardias y policías del Servicio de Protección Federal reciben alrededor de 6 mil 800 pesos mensuales; existe una porción importante de elementos de la Guardia Nacional, Ejército y Fuerza Aérea mexicanos que ganan alrededor de 16 mil pesos al mes; el personal de enfermería del IMSS recibe entre 5 mil 752 pesos y 9 mil 645 pesos mensuales; el personal médico del IMSS percibe entre 9 mil 184 y 12 mil 95 pesos al mes; y el personal de enfermería del Instituto de Seguridad y Servicios Sociales de los Trabajadores del Estado (ISSSTE) gana alrededor de 11 mil pesos mensuales.</w:t>
      </w:r>
    </w:p>
    <w:p w14:paraId="4E8AEE1A">
      <w:pPr>
        <w:spacing w:after="0" w:line="240" w:lineRule="auto"/>
        <w:jc w:val="both"/>
        <w:rPr>
          <w:rFonts w:ascii="Arial" w:hAnsi="Arial"/>
          <w:color w:val="000000" w:themeColor="text1"/>
          <w:sz w:val="26"/>
          <w:szCs w:val="26"/>
          <w:lang w:eastAsia="es-ES"/>
          <w14:textFill>
            <w14:solidFill>
              <w14:schemeClr w14:val="tx1"/>
            </w14:solidFill>
          </w14:textFill>
        </w:rPr>
      </w:pPr>
    </w:p>
    <w:p w14:paraId="4DC8E8F0">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El Gobierno de México ha expresado su compromiso de atender las demandas y necesidades de las mujeres y hombres que trabajan incansablemente para garantizar la paz y seguridad de las familias, asegurándoles un proyecto de vida digno y mejores condiciones laborales y salariales.</w:t>
      </w:r>
    </w:p>
    <w:p w14:paraId="34CBBA7E">
      <w:pPr>
        <w:spacing w:after="0" w:line="240" w:lineRule="auto"/>
        <w:jc w:val="both"/>
        <w:rPr>
          <w:rFonts w:ascii="Arial" w:hAnsi="Arial"/>
          <w:color w:val="000000" w:themeColor="text1"/>
          <w:sz w:val="26"/>
          <w:szCs w:val="26"/>
          <w:lang w:eastAsia="es-ES"/>
          <w14:textFill>
            <w14:solidFill>
              <w14:schemeClr w14:val="tx1"/>
            </w14:solidFill>
          </w14:textFill>
        </w:rPr>
      </w:pPr>
    </w:p>
    <w:p w14:paraId="1B4B555F">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Es indispensable establecer un piso de ingreso mínimo para satisfacer las principales necesidades de las y los servidores públicos encargados de la salud, educación y seguridad del país, pues permite visibilizar su importante labor que durante los gobiernos previos fue desdeñada e ignorada.</w:t>
      </w:r>
    </w:p>
    <w:p w14:paraId="14C157DD">
      <w:pPr>
        <w:spacing w:after="0" w:line="240" w:lineRule="auto"/>
        <w:jc w:val="both"/>
        <w:rPr>
          <w:rFonts w:ascii="Arial" w:hAnsi="Arial"/>
          <w:color w:val="000000" w:themeColor="text1"/>
          <w:sz w:val="26"/>
          <w:szCs w:val="26"/>
          <w:lang w:eastAsia="es-ES"/>
          <w14:textFill>
            <w14:solidFill>
              <w14:schemeClr w14:val="tx1"/>
            </w14:solidFill>
          </w14:textFill>
        </w:rPr>
      </w:pPr>
    </w:p>
    <w:p w14:paraId="5B9FC21D">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El texto íntegro de la iniciativa se puede visualizar en la siguiente liga al documento: </w:t>
      </w:r>
      <w:r>
        <w:fldChar w:fldCharType="begin"/>
      </w:r>
      <w:r>
        <w:instrText xml:space="preserve"> HYPERLINK "https://gaceta.diputados.gob.mx/PDF/65/2024/feb/20240205-9.pdf" </w:instrText>
      </w:r>
      <w:r>
        <w:fldChar w:fldCharType="separate"/>
      </w:r>
      <w:r>
        <w:rPr>
          <w:rStyle w:val="4"/>
          <w:rFonts w:ascii="Arial" w:hAnsi="Arial"/>
          <w:color w:val="000000" w:themeColor="text1"/>
          <w:sz w:val="26"/>
          <w:szCs w:val="26"/>
          <w:lang w:eastAsia="es-ES"/>
          <w14:textFill>
            <w14:solidFill>
              <w14:schemeClr w14:val="tx1"/>
            </w14:solidFill>
          </w14:textFill>
        </w:rPr>
        <w:t>https://gaceta.diputados.gob.mx/PDF/65/2024/feb/20240205-9.pdf</w:t>
      </w:r>
      <w:r>
        <w:rPr>
          <w:rStyle w:val="4"/>
          <w:rFonts w:ascii="Arial" w:hAnsi="Arial"/>
          <w:color w:val="000000" w:themeColor="text1"/>
          <w:sz w:val="26"/>
          <w:szCs w:val="26"/>
          <w:lang w:eastAsia="es-ES"/>
          <w14:textFill>
            <w14:solidFill>
              <w14:schemeClr w14:val="tx1"/>
            </w14:solidFill>
          </w14:textFill>
        </w:rPr>
        <w:fldChar w:fldCharType="end"/>
      </w:r>
      <w:r>
        <w:rPr>
          <w:rFonts w:ascii="Arial" w:hAnsi="Arial"/>
          <w:color w:val="000000" w:themeColor="text1"/>
          <w:sz w:val="26"/>
          <w:szCs w:val="26"/>
          <w:lang w:eastAsia="es-ES"/>
          <w14:textFill>
            <w14:solidFill>
              <w14:schemeClr w14:val="tx1"/>
            </w14:solidFill>
          </w14:textFill>
        </w:rPr>
        <w:t xml:space="preserve"> </w:t>
      </w:r>
    </w:p>
    <w:p w14:paraId="4A08EEFF">
      <w:pPr>
        <w:spacing w:after="0" w:line="240" w:lineRule="auto"/>
        <w:jc w:val="both"/>
        <w:rPr>
          <w:rFonts w:ascii="Arial" w:hAnsi="Arial"/>
          <w:color w:val="000000" w:themeColor="text1"/>
          <w:sz w:val="26"/>
          <w:szCs w:val="26"/>
          <w:lang w:eastAsia="es-ES"/>
          <w14:textFill>
            <w14:solidFill>
              <w14:schemeClr w14:val="tx1"/>
            </w14:solidFill>
          </w14:textFill>
        </w:rPr>
      </w:pPr>
    </w:p>
    <w:p w14:paraId="2D379BA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En función del carácter público y reglamentario de la Gaceta Parlamentaria, se debe entender como oficial la iniciativa indicada, la cual se da por reproducido en su integridad en este apartado. </w:t>
      </w:r>
    </w:p>
    <w:p w14:paraId="11318F36">
      <w:pPr>
        <w:spacing w:after="0" w:line="240" w:lineRule="auto"/>
        <w:jc w:val="both"/>
        <w:rPr>
          <w:rFonts w:ascii="Arial" w:hAnsi="Arial" w:cs="Arial"/>
          <w:color w:val="000000" w:themeColor="text1"/>
          <w:sz w:val="26"/>
          <w:szCs w:val="26"/>
          <w:lang w:eastAsia="es-ES"/>
          <w14:textFill>
            <w14:solidFill>
              <w14:schemeClr w14:val="tx1"/>
            </w14:solidFill>
          </w14:textFill>
        </w:rPr>
      </w:pPr>
    </w:p>
    <w:p w14:paraId="41FB38AC">
      <w:pPr>
        <w:spacing w:after="0" w:line="240" w:lineRule="auto"/>
        <w:jc w:val="both"/>
        <w:rPr>
          <w:rFonts w:ascii="Arial" w:hAnsi="Arial" w:cs="Arial"/>
          <w:iCs/>
          <w:sz w:val="26"/>
          <w:szCs w:val="26"/>
        </w:rPr>
      </w:pPr>
      <w:r>
        <w:rPr>
          <w:rFonts w:ascii="Arial" w:hAnsi="Arial" w:cs="Arial"/>
          <w:iCs/>
          <w:sz w:val="26"/>
          <w:szCs w:val="26"/>
        </w:rPr>
        <w:t>La tabla siguiente muestra la comparación entre el texto vigente y la propuesta de modificación del texto de la reforma a la Constitución.</w:t>
      </w:r>
    </w:p>
    <w:p w14:paraId="07CDABF9">
      <w:pPr>
        <w:spacing w:after="0" w:line="360" w:lineRule="auto"/>
        <w:contextualSpacing/>
        <w:jc w:val="both"/>
        <w:rPr>
          <w:rFonts w:ascii="Arial" w:hAnsi="Arial" w:eastAsia="Calibri" w:cs="Arial"/>
          <w:sz w:val="24"/>
          <w:szCs w:val="24"/>
        </w:rPr>
      </w:pPr>
    </w:p>
    <w:tbl>
      <w:tblPr>
        <w:tblStyle w:val="3"/>
        <w:tblpPr w:leftFromText="141" w:rightFromText="141" w:vertAnchor="text" w:tblpY="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11"/>
        <w:gridCol w:w="4441"/>
      </w:tblGrid>
      <w:tr w14:paraId="571A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blHeader/>
        </w:trPr>
        <w:tc>
          <w:tcPr>
            <w:tcW w:w="2547" w:type="pct"/>
            <w:shd w:val="clear" w:color="auto" w:fill="000000" w:themeFill="text1"/>
            <w:tcMar>
              <w:top w:w="0" w:type="dxa"/>
              <w:left w:w="108" w:type="dxa"/>
              <w:bottom w:w="0" w:type="dxa"/>
              <w:right w:w="108" w:type="dxa"/>
            </w:tcMar>
            <w:vAlign w:val="center"/>
          </w:tcPr>
          <w:p w14:paraId="123E50A3">
            <w:pPr>
              <w:jc w:val="center"/>
              <w:rPr>
                <w:rFonts w:ascii="Arial" w:hAnsi="Arial" w:eastAsia="Montserrat" w:cs="Arial"/>
                <w:b/>
                <w:color w:val="FFFFFF" w:themeColor="background1"/>
                <w:kern w:val="2"/>
                <w:sz w:val="26"/>
                <w:szCs w:val="26"/>
                <w14:textFill>
                  <w14:solidFill>
                    <w14:schemeClr w14:val="bg1"/>
                  </w14:solidFill>
                </w14:textFill>
                <w14:ligatures w14:val="standardContextual"/>
              </w:rPr>
            </w:pPr>
            <w:bookmarkStart w:id="0" w:name="_Hlk156315332"/>
            <w:r>
              <w:rPr>
                <w:rFonts w:ascii="Arial" w:hAnsi="Arial" w:eastAsia="Montserrat" w:cs="Arial"/>
                <w:b/>
                <w:color w:val="FFFFFF" w:themeColor="background1"/>
                <w:kern w:val="2"/>
                <w:sz w:val="26"/>
                <w:szCs w:val="26"/>
                <w14:textFill>
                  <w14:solidFill>
                    <w14:schemeClr w14:val="bg1"/>
                  </w14:solidFill>
                </w14:textFill>
                <w14:ligatures w14:val="standardContextual"/>
              </w:rPr>
              <w:t xml:space="preserve">TEXTO VIGENTE </w:t>
            </w:r>
          </w:p>
        </w:tc>
        <w:tc>
          <w:tcPr>
            <w:tcW w:w="2452" w:type="pct"/>
            <w:shd w:val="clear" w:color="auto" w:fill="000000" w:themeFill="text1"/>
            <w:vAlign w:val="center"/>
          </w:tcPr>
          <w:p w14:paraId="09F8ABC1">
            <w:pPr>
              <w:tabs>
                <w:tab w:val="left" w:pos="1724"/>
              </w:tabs>
              <w:ind w:left="165" w:right="184" w:hanging="142"/>
              <w:jc w:val="center"/>
              <w:rPr>
                <w:rFonts w:ascii="Arial" w:hAnsi="Arial" w:eastAsia="Montserrat" w:cs="Arial"/>
                <w:b/>
                <w:color w:val="FFFFFF" w:themeColor="background1"/>
                <w:kern w:val="2"/>
                <w:sz w:val="26"/>
                <w:szCs w:val="26"/>
                <w14:textFill>
                  <w14:solidFill>
                    <w14:schemeClr w14:val="bg1"/>
                  </w14:solidFill>
                </w14:textFill>
                <w14:ligatures w14:val="standardContextual"/>
              </w:rPr>
            </w:pPr>
            <w:r>
              <w:rPr>
                <w:rFonts w:ascii="Arial" w:hAnsi="Arial" w:eastAsia="Montserrat" w:cs="Arial"/>
                <w:b/>
                <w:color w:val="FFFFFF" w:themeColor="background1"/>
                <w:kern w:val="2"/>
                <w:sz w:val="26"/>
                <w:szCs w:val="26"/>
                <w14:textFill>
                  <w14:solidFill>
                    <w14:schemeClr w14:val="bg1"/>
                  </w14:solidFill>
                </w14:textFill>
                <w14:ligatures w14:val="standardContextual"/>
              </w:rPr>
              <w:t>TEXTO PROPUESTO</w:t>
            </w:r>
          </w:p>
        </w:tc>
      </w:tr>
      <w:tr w14:paraId="5348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pct"/>
            <w:tcMar>
              <w:top w:w="0" w:type="dxa"/>
              <w:left w:w="108" w:type="dxa"/>
              <w:bottom w:w="0" w:type="dxa"/>
              <w:right w:w="108" w:type="dxa"/>
            </w:tcMar>
          </w:tcPr>
          <w:p w14:paraId="1CD635F7">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26"/>
                <w:szCs w:val="26"/>
                <w:lang w:eastAsia="es-ES"/>
              </w:rPr>
              <w:t xml:space="preserve"> …</w:t>
            </w:r>
          </w:p>
          <w:p w14:paraId="3D1F9111">
            <w:pPr>
              <w:spacing w:after="0" w:line="240" w:lineRule="auto"/>
              <w:jc w:val="both"/>
              <w:rPr>
                <w:rFonts w:ascii="Arial" w:hAnsi="Arial" w:eastAsia="Times New Roman" w:cs="Arial"/>
                <w:sz w:val="26"/>
                <w:szCs w:val="26"/>
                <w:lang w:eastAsia="es-ES"/>
              </w:rPr>
            </w:pPr>
          </w:p>
          <w:p w14:paraId="191AE0B7">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4E56B2CD">
            <w:pPr>
              <w:spacing w:after="0" w:line="240" w:lineRule="auto"/>
              <w:jc w:val="both"/>
              <w:rPr>
                <w:rFonts w:ascii="Arial" w:hAnsi="Arial" w:eastAsia="Times New Roman" w:cs="Arial"/>
                <w:sz w:val="26"/>
                <w:szCs w:val="26"/>
                <w:lang w:eastAsia="es-ES"/>
              </w:rPr>
            </w:pPr>
          </w:p>
          <w:p w14:paraId="7E201E00">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Entre los obreros, jornaleros, empleados domésticos, artesanos y de una manera general, todo contrato de trabajo:</w:t>
            </w:r>
          </w:p>
          <w:p w14:paraId="10ACA862">
            <w:pPr>
              <w:spacing w:after="0" w:line="240" w:lineRule="auto"/>
              <w:jc w:val="both"/>
              <w:rPr>
                <w:rFonts w:ascii="Arial" w:hAnsi="Arial" w:eastAsia="Times New Roman" w:cs="Arial"/>
                <w:sz w:val="26"/>
                <w:szCs w:val="26"/>
                <w:lang w:eastAsia="es-ES"/>
              </w:rPr>
            </w:pPr>
          </w:p>
          <w:p w14:paraId="3F915A72">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V</w:t>
            </w:r>
            <w:r>
              <w:rPr>
                <w:rFonts w:ascii="Arial" w:hAnsi="Arial" w:eastAsia="Times New Roman" w:cs="Arial"/>
                <w:sz w:val="26"/>
                <w:szCs w:val="26"/>
                <w:lang w:eastAsia="es-ES"/>
              </w:rPr>
              <w:t>. …</w:t>
            </w:r>
          </w:p>
          <w:p w14:paraId="2E004FA7">
            <w:pPr>
              <w:spacing w:after="0" w:line="240" w:lineRule="auto"/>
              <w:ind w:left="306"/>
              <w:jc w:val="both"/>
              <w:rPr>
                <w:rFonts w:ascii="Arial" w:hAnsi="Arial" w:eastAsia="Times New Roman" w:cs="Arial"/>
                <w:sz w:val="26"/>
                <w:szCs w:val="26"/>
                <w:lang w:eastAsia="es-ES"/>
              </w:rPr>
            </w:pPr>
          </w:p>
          <w:p w14:paraId="503814D8">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VI</w:t>
            </w:r>
            <w:r>
              <w:rPr>
                <w:rFonts w:ascii="Arial" w:hAnsi="Arial" w:eastAsia="Times New Roman" w:cs="Arial"/>
                <w:sz w:val="26"/>
                <w:szCs w:val="26"/>
                <w:lang w:eastAsia="es-ES"/>
              </w:rPr>
              <w:t>. 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14:paraId="03709062">
            <w:pPr>
              <w:spacing w:after="0" w:line="240" w:lineRule="auto"/>
              <w:ind w:left="306" w:firstLine="288"/>
              <w:jc w:val="both"/>
              <w:rPr>
                <w:rFonts w:ascii="Arial" w:hAnsi="Arial" w:eastAsia="Times New Roman" w:cs="Arial"/>
                <w:sz w:val="26"/>
                <w:szCs w:val="26"/>
                <w:lang w:eastAsia="es-ES"/>
              </w:rPr>
            </w:pPr>
          </w:p>
          <w:p w14:paraId="4DEF3C22">
            <w:pPr>
              <w:spacing w:after="0" w:line="240" w:lineRule="auto"/>
              <w:ind w:left="306"/>
              <w:jc w:val="both"/>
              <w:rPr>
                <w:rFonts w:ascii="Arial" w:hAnsi="Arial" w:eastAsia="Times New Roman" w:cs="Arial"/>
                <w:sz w:val="26"/>
                <w:szCs w:val="26"/>
                <w:lang w:eastAsia="es-ES"/>
              </w:rPr>
            </w:pPr>
          </w:p>
          <w:p w14:paraId="18B90A9D">
            <w:pPr>
              <w:spacing w:after="0" w:line="240" w:lineRule="auto"/>
              <w:ind w:left="306"/>
              <w:jc w:val="both"/>
              <w:rPr>
                <w:rFonts w:ascii="Arial" w:hAnsi="Arial" w:eastAsia="Times New Roman" w:cs="Arial"/>
                <w:sz w:val="26"/>
                <w:szCs w:val="26"/>
                <w:lang w:eastAsia="es-ES"/>
              </w:rPr>
            </w:pPr>
          </w:p>
          <w:p w14:paraId="11F45831">
            <w:pPr>
              <w:spacing w:after="0" w:line="240" w:lineRule="auto"/>
              <w:ind w:left="306"/>
              <w:jc w:val="both"/>
              <w:rPr>
                <w:rFonts w:ascii="Arial" w:hAnsi="Arial" w:eastAsia="Times New Roman" w:cs="Arial"/>
                <w:sz w:val="26"/>
                <w:szCs w:val="26"/>
                <w:lang w:eastAsia="es-ES"/>
              </w:rPr>
            </w:pPr>
          </w:p>
          <w:p w14:paraId="20C69400">
            <w:pPr>
              <w:spacing w:after="0" w:line="240" w:lineRule="auto"/>
              <w:ind w:left="306"/>
              <w:jc w:val="both"/>
              <w:rPr>
                <w:rFonts w:ascii="Arial" w:hAnsi="Arial" w:eastAsia="Times New Roman" w:cs="Arial"/>
                <w:sz w:val="26"/>
                <w:szCs w:val="26"/>
                <w:lang w:eastAsia="es-ES"/>
              </w:rPr>
            </w:pPr>
          </w:p>
          <w:p w14:paraId="00E314D6">
            <w:pPr>
              <w:spacing w:after="0" w:line="240" w:lineRule="auto"/>
              <w:ind w:left="306"/>
              <w:jc w:val="both"/>
              <w:rPr>
                <w:rFonts w:ascii="Arial" w:hAnsi="Arial" w:eastAsia="Times New Roman" w:cs="Arial"/>
                <w:sz w:val="26"/>
                <w:szCs w:val="26"/>
                <w:lang w:eastAsia="es-ES"/>
              </w:rPr>
            </w:pPr>
          </w:p>
          <w:p w14:paraId="50FE8154">
            <w:pPr>
              <w:spacing w:after="0" w:line="240" w:lineRule="auto"/>
              <w:ind w:left="306"/>
              <w:jc w:val="both"/>
              <w:rPr>
                <w:rFonts w:ascii="Arial" w:hAnsi="Arial" w:eastAsia="Times New Roman" w:cs="Arial"/>
                <w:sz w:val="26"/>
                <w:szCs w:val="26"/>
                <w:lang w:eastAsia="es-ES"/>
              </w:rPr>
            </w:pPr>
          </w:p>
          <w:p w14:paraId="6A598088">
            <w:pPr>
              <w:spacing w:after="0" w:line="240" w:lineRule="auto"/>
              <w:ind w:left="306"/>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 …</w:t>
            </w:r>
          </w:p>
          <w:p w14:paraId="599BDF1A">
            <w:pPr>
              <w:spacing w:after="0" w:line="240" w:lineRule="auto"/>
              <w:ind w:left="306" w:firstLine="288"/>
              <w:jc w:val="both"/>
              <w:rPr>
                <w:rFonts w:ascii="Arial" w:hAnsi="Arial" w:eastAsia="Times New Roman" w:cs="Arial"/>
                <w:sz w:val="26"/>
                <w:szCs w:val="26"/>
                <w:lang w:eastAsia="es-ES"/>
              </w:rPr>
            </w:pPr>
          </w:p>
          <w:p w14:paraId="6D389F4D">
            <w:pPr>
              <w:spacing w:after="0" w:line="240" w:lineRule="auto"/>
              <w:ind w:left="306"/>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06D9C1FB">
            <w:pPr>
              <w:spacing w:after="0" w:line="240" w:lineRule="auto"/>
              <w:ind w:left="306"/>
              <w:jc w:val="both"/>
              <w:rPr>
                <w:rFonts w:ascii="Arial" w:hAnsi="Arial" w:eastAsia="Times New Roman" w:cs="Arial"/>
                <w:sz w:val="26"/>
                <w:szCs w:val="26"/>
                <w:lang w:eastAsia="es-ES"/>
              </w:rPr>
            </w:pPr>
          </w:p>
          <w:p w14:paraId="502D5BA9">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VII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0AD6C32B">
            <w:pPr>
              <w:spacing w:after="0" w:line="240" w:lineRule="auto"/>
              <w:jc w:val="both"/>
              <w:rPr>
                <w:rFonts w:ascii="Arial" w:hAnsi="Arial" w:eastAsia="Times New Roman" w:cs="Arial"/>
                <w:sz w:val="26"/>
                <w:szCs w:val="26"/>
                <w:lang w:eastAsia="es-ES"/>
              </w:rPr>
            </w:pPr>
          </w:p>
          <w:p w14:paraId="4F7B71F5">
            <w:pPr>
              <w:spacing w:after="0" w:line="240" w:lineRule="auto"/>
              <w:jc w:val="both"/>
              <w:rPr>
                <w:rFonts w:ascii="Arial" w:hAnsi="Arial" w:eastAsia="Times New Roman" w:cs="Arial"/>
                <w:sz w:val="26"/>
                <w:szCs w:val="26"/>
                <w:lang w:eastAsia="es-ES"/>
              </w:rPr>
            </w:pPr>
          </w:p>
          <w:p w14:paraId="119CD9D7">
            <w:pPr>
              <w:spacing w:after="0" w:line="240" w:lineRule="auto"/>
              <w:jc w:val="both"/>
              <w:rPr>
                <w:rFonts w:ascii="Arial" w:hAnsi="Arial" w:eastAsia="Times New Roman" w:cs="Arial"/>
                <w:b/>
                <w:bCs/>
                <w:sz w:val="26"/>
                <w:szCs w:val="26"/>
                <w:lang w:eastAsia="es-ES"/>
              </w:rPr>
            </w:pPr>
          </w:p>
          <w:p w14:paraId="45945BB6">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xml:space="preserve"> …</w:t>
            </w:r>
          </w:p>
          <w:p w14:paraId="5CF5B1CB">
            <w:pPr>
              <w:spacing w:after="0" w:line="240" w:lineRule="auto"/>
              <w:jc w:val="both"/>
              <w:rPr>
                <w:rFonts w:ascii="Arial" w:hAnsi="Arial" w:eastAsia="Times New Roman" w:cs="Arial"/>
                <w:bCs/>
                <w:sz w:val="26"/>
                <w:szCs w:val="26"/>
                <w:lang w:eastAsia="es-ES"/>
              </w:rPr>
            </w:pPr>
          </w:p>
          <w:p w14:paraId="4877E483">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III</w:t>
            </w:r>
            <w:r>
              <w:rPr>
                <w:rFonts w:ascii="Arial" w:hAnsi="Arial" w:eastAsia="Times New Roman" w:cs="Arial"/>
                <w:bCs/>
                <w:sz w:val="26"/>
                <w:szCs w:val="26"/>
                <w:lang w:eastAsia="es-ES"/>
              </w:rPr>
              <w:t>. …</w:t>
            </w:r>
          </w:p>
          <w:p w14:paraId="759B3B0A">
            <w:pPr>
              <w:spacing w:after="0" w:line="240" w:lineRule="auto"/>
              <w:ind w:left="164"/>
              <w:jc w:val="both"/>
              <w:rPr>
                <w:rFonts w:ascii="Arial" w:hAnsi="Arial" w:eastAsia="Times New Roman" w:cs="Arial"/>
                <w:bCs/>
                <w:sz w:val="26"/>
                <w:szCs w:val="26"/>
                <w:lang w:eastAsia="es-ES"/>
              </w:rPr>
            </w:pPr>
          </w:p>
          <w:p w14:paraId="1D65034A">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IV.</w:t>
            </w:r>
            <w:r>
              <w:rPr>
                <w:rFonts w:ascii="Arial" w:hAnsi="Arial" w:eastAsia="Times New Roman" w:cs="Arial"/>
                <w:bCs/>
                <w:sz w:val="26"/>
                <w:szCs w:val="26"/>
                <w:lang w:eastAsia="es-ES"/>
              </w:rPr>
              <w:t xml:space="preserve"> Los salarios serán fijados en los presupuestos respectivos sin que su cuantía pueda ser disminuida durante la vigencia de éstos, sujetándose a lo dispuesto en el artículo 127 de esta Constitución y en la ley.</w:t>
            </w:r>
          </w:p>
          <w:p w14:paraId="22EDA9B7">
            <w:pPr>
              <w:spacing w:after="0" w:line="240" w:lineRule="auto"/>
              <w:ind w:left="164" w:firstLine="288"/>
              <w:jc w:val="both"/>
              <w:rPr>
                <w:rFonts w:ascii="Arial" w:hAnsi="Arial" w:eastAsia="Times New Roman" w:cs="Arial"/>
                <w:bCs/>
                <w:sz w:val="26"/>
                <w:szCs w:val="26"/>
                <w:lang w:eastAsia="es-ES"/>
              </w:rPr>
            </w:pPr>
          </w:p>
          <w:p w14:paraId="22A2F0AB">
            <w:pPr>
              <w:spacing w:after="0" w:line="240" w:lineRule="auto"/>
              <w:jc w:val="both"/>
              <w:rPr>
                <w:rFonts w:ascii="Arial" w:hAnsi="Arial" w:eastAsia="Times New Roman" w:cs="Arial"/>
                <w:bCs/>
                <w:sz w:val="26"/>
                <w:szCs w:val="26"/>
                <w:lang w:eastAsia="es-ES"/>
              </w:rPr>
            </w:pPr>
          </w:p>
          <w:p w14:paraId="4808071F">
            <w:pPr>
              <w:spacing w:after="0" w:line="240" w:lineRule="auto"/>
              <w:jc w:val="both"/>
              <w:rPr>
                <w:rFonts w:ascii="Arial" w:hAnsi="Arial" w:eastAsia="Times New Roman" w:cs="Arial"/>
                <w:bCs/>
                <w:sz w:val="26"/>
                <w:szCs w:val="26"/>
                <w:lang w:eastAsia="es-ES"/>
              </w:rPr>
            </w:pPr>
            <w:r>
              <w:rPr>
                <w:rFonts w:ascii="Arial" w:hAnsi="Arial" w:eastAsia="Times New Roman" w:cs="Arial"/>
                <w:bCs/>
                <w:sz w:val="26"/>
                <w:szCs w:val="26"/>
                <w:lang w:eastAsia="es-ES"/>
              </w:rPr>
              <w:t>En ningún caso los salarios podrán ser inferiores al mínimo para los trabajadores en general en las entidades federativas.</w:t>
            </w:r>
          </w:p>
          <w:p w14:paraId="16D8DAC1">
            <w:pPr>
              <w:spacing w:after="0" w:line="240" w:lineRule="auto"/>
              <w:ind w:left="164"/>
              <w:jc w:val="both"/>
              <w:rPr>
                <w:rFonts w:ascii="Arial" w:hAnsi="Arial" w:eastAsia="Times New Roman" w:cs="Arial"/>
                <w:bCs/>
                <w:sz w:val="26"/>
                <w:szCs w:val="26"/>
                <w:lang w:eastAsia="es-ES"/>
              </w:rPr>
            </w:pPr>
          </w:p>
          <w:p w14:paraId="2398C8D4">
            <w:pPr>
              <w:spacing w:after="0" w:line="240" w:lineRule="auto"/>
              <w:ind w:left="164"/>
              <w:jc w:val="both"/>
              <w:rPr>
                <w:rFonts w:ascii="Arial" w:hAnsi="Arial" w:eastAsia="Times New Roman" w:cs="Arial"/>
                <w:bCs/>
                <w:sz w:val="26"/>
                <w:szCs w:val="26"/>
                <w:lang w:eastAsia="es-ES"/>
              </w:rPr>
            </w:pPr>
          </w:p>
          <w:p w14:paraId="488DFF5F">
            <w:pPr>
              <w:spacing w:after="0" w:line="240" w:lineRule="auto"/>
              <w:ind w:left="164"/>
              <w:jc w:val="both"/>
              <w:rPr>
                <w:rFonts w:ascii="Arial" w:hAnsi="Arial" w:eastAsia="Times New Roman" w:cs="Arial"/>
                <w:bCs/>
                <w:sz w:val="26"/>
                <w:szCs w:val="26"/>
                <w:lang w:eastAsia="es-ES"/>
              </w:rPr>
            </w:pPr>
          </w:p>
          <w:p w14:paraId="529D7B33">
            <w:pPr>
              <w:spacing w:after="0" w:line="240" w:lineRule="auto"/>
              <w:ind w:left="164"/>
              <w:jc w:val="both"/>
              <w:rPr>
                <w:rFonts w:ascii="Arial" w:hAnsi="Arial" w:eastAsia="Times New Roman" w:cs="Arial"/>
                <w:bCs/>
                <w:sz w:val="26"/>
                <w:szCs w:val="26"/>
                <w:lang w:eastAsia="es-ES"/>
              </w:rPr>
            </w:pPr>
          </w:p>
          <w:p w14:paraId="57D93FD9">
            <w:pPr>
              <w:spacing w:after="0" w:line="240" w:lineRule="auto"/>
              <w:ind w:left="164"/>
              <w:jc w:val="both"/>
              <w:rPr>
                <w:rFonts w:ascii="Arial" w:hAnsi="Arial" w:eastAsia="Times New Roman" w:cs="Arial"/>
                <w:b/>
                <w:i/>
                <w:iCs/>
                <w:sz w:val="26"/>
                <w:szCs w:val="26"/>
                <w:lang w:eastAsia="es-ES"/>
              </w:rPr>
            </w:pPr>
            <w:r>
              <w:rPr>
                <w:rFonts w:ascii="Arial" w:hAnsi="Arial" w:eastAsia="Times New Roman" w:cs="Arial"/>
                <w:b/>
                <w:i/>
                <w:iCs/>
                <w:sz w:val="26"/>
                <w:szCs w:val="26"/>
                <w:lang w:eastAsia="es-ES"/>
              </w:rPr>
              <w:t>Sin correlativo</w:t>
            </w:r>
          </w:p>
          <w:p w14:paraId="1B64DADD">
            <w:pPr>
              <w:spacing w:after="0" w:line="240" w:lineRule="auto"/>
              <w:ind w:left="164"/>
              <w:jc w:val="both"/>
              <w:rPr>
                <w:rFonts w:ascii="Arial" w:hAnsi="Arial" w:eastAsia="Times New Roman" w:cs="Arial"/>
                <w:bCs/>
                <w:sz w:val="26"/>
                <w:szCs w:val="26"/>
                <w:lang w:eastAsia="es-ES"/>
              </w:rPr>
            </w:pPr>
          </w:p>
          <w:p w14:paraId="2B0B4552">
            <w:pPr>
              <w:spacing w:after="0" w:line="240" w:lineRule="auto"/>
              <w:ind w:left="164"/>
              <w:jc w:val="both"/>
              <w:rPr>
                <w:rFonts w:ascii="Arial" w:hAnsi="Arial" w:eastAsia="Times New Roman" w:cs="Arial"/>
                <w:bCs/>
                <w:sz w:val="26"/>
                <w:szCs w:val="26"/>
                <w:lang w:eastAsia="es-ES"/>
              </w:rPr>
            </w:pPr>
          </w:p>
          <w:p w14:paraId="7B6DC945">
            <w:pPr>
              <w:spacing w:after="0" w:line="240" w:lineRule="auto"/>
              <w:ind w:left="164"/>
              <w:jc w:val="both"/>
              <w:rPr>
                <w:rFonts w:ascii="Arial" w:hAnsi="Arial" w:eastAsia="Times New Roman" w:cs="Arial"/>
                <w:bCs/>
                <w:sz w:val="26"/>
                <w:szCs w:val="26"/>
                <w:lang w:eastAsia="es-ES"/>
              </w:rPr>
            </w:pPr>
          </w:p>
          <w:p w14:paraId="2EA58C3F">
            <w:pPr>
              <w:spacing w:after="0" w:line="240" w:lineRule="auto"/>
              <w:ind w:left="164"/>
              <w:jc w:val="both"/>
              <w:rPr>
                <w:rFonts w:ascii="Arial" w:hAnsi="Arial" w:eastAsia="Times New Roman" w:cs="Arial"/>
                <w:bCs/>
                <w:sz w:val="26"/>
                <w:szCs w:val="26"/>
                <w:lang w:eastAsia="es-ES"/>
              </w:rPr>
            </w:pPr>
          </w:p>
          <w:p w14:paraId="7037F2FA">
            <w:pPr>
              <w:spacing w:after="0" w:line="240" w:lineRule="auto"/>
              <w:ind w:left="164"/>
              <w:jc w:val="both"/>
              <w:rPr>
                <w:rFonts w:ascii="Arial" w:hAnsi="Arial" w:eastAsia="Times New Roman" w:cs="Arial"/>
                <w:bCs/>
                <w:sz w:val="26"/>
                <w:szCs w:val="26"/>
                <w:lang w:eastAsia="es-ES"/>
              </w:rPr>
            </w:pPr>
          </w:p>
          <w:p w14:paraId="68D6E75D">
            <w:pPr>
              <w:spacing w:after="0" w:line="240" w:lineRule="auto"/>
              <w:ind w:left="164"/>
              <w:jc w:val="both"/>
              <w:rPr>
                <w:rFonts w:ascii="Arial" w:hAnsi="Arial" w:eastAsia="Times New Roman" w:cs="Arial"/>
                <w:bCs/>
                <w:sz w:val="26"/>
                <w:szCs w:val="26"/>
                <w:lang w:eastAsia="es-ES"/>
              </w:rPr>
            </w:pPr>
          </w:p>
          <w:p w14:paraId="0529B23E">
            <w:pPr>
              <w:spacing w:after="0" w:line="240" w:lineRule="auto"/>
              <w:ind w:left="164"/>
              <w:jc w:val="both"/>
              <w:rPr>
                <w:rFonts w:ascii="Arial" w:hAnsi="Arial" w:eastAsia="Times New Roman" w:cs="Arial"/>
                <w:bCs/>
                <w:sz w:val="26"/>
                <w:szCs w:val="26"/>
                <w:lang w:eastAsia="es-ES"/>
              </w:rPr>
            </w:pPr>
          </w:p>
          <w:p w14:paraId="1A133309">
            <w:pPr>
              <w:spacing w:after="0" w:line="240" w:lineRule="auto"/>
              <w:ind w:left="164"/>
              <w:jc w:val="both"/>
              <w:rPr>
                <w:rFonts w:ascii="Arial" w:hAnsi="Arial" w:eastAsia="Times New Roman" w:cs="Arial"/>
                <w:bCs/>
                <w:sz w:val="26"/>
                <w:szCs w:val="26"/>
                <w:lang w:eastAsia="es-ES"/>
              </w:rPr>
            </w:pPr>
          </w:p>
          <w:p w14:paraId="356D06D3">
            <w:pPr>
              <w:spacing w:after="0" w:line="240" w:lineRule="auto"/>
              <w:ind w:left="164"/>
              <w:jc w:val="both"/>
              <w:rPr>
                <w:rFonts w:ascii="Arial" w:hAnsi="Arial" w:eastAsia="Times New Roman" w:cs="Arial"/>
                <w:bCs/>
                <w:sz w:val="26"/>
                <w:szCs w:val="26"/>
                <w:lang w:eastAsia="es-ES"/>
              </w:rPr>
            </w:pPr>
            <w:r>
              <w:rPr>
                <w:rFonts w:ascii="Arial" w:hAnsi="Arial" w:eastAsia="Times New Roman" w:cs="Arial"/>
                <w:b/>
                <w:sz w:val="26"/>
                <w:szCs w:val="26"/>
                <w:lang w:eastAsia="es-ES"/>
              </w:rPr>
              <w:t>V</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tc>
        <w:tc>
          <w:tcPr>
            <w:tcW w:w="2452" w:type="pct"/>
            <w:shd w:val="clear" w:color="auto" w:fill="auto"/>
          </w:tcPr>
          <w:p w14:paraId="59B59629">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26"/>
                <w:szCs w:val="26"/>
                <w:lang w:eastAsia="es-ES"/>
              </w:rPr>
              <w:t xml:space="preserve"> …</w:t>
            </w:r>
          </w:p>
          <w:p w14:paraId="6E193107">
            <w:pPr>
              <w:spacing w:after="0" w:line="240" w:lineRule="auto"/>
              <w:jc w:val="both"/>
              <w:rPr>
                <w:rFonts w:ascii="Arial" w:hAnsi="Arial" w:eastAsia="Times New Roman" w:cs="Arial"/>
                <w:sz w:val="26"/>
                <w:szCs w:val="26"/>
                <w:lang w:eastAsia="es-ES"/>
              </w:rPr>
            </w:pPr>
          </w:p>
          <w:p w14:paraId="52BAED44">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2DD840BB">
            <w:pPr>
              <w:spacing w:after="0" w:line="240" w:lineRule="auto"/>
              <w:jc w:val="both"/>
              <w:rPr>
                <w:rFonts w:ascii="Arial" w:hAnsi="Arial" w:eastAsia="Times New Roman" w:cs="Arial"/>
                <w:sz w:val="26"/>
                <w:szCs w:val="26"/>
                <w:lang w:eastAsia="es-ES"/>
              </w:rPr>
            </w:pPr>
          </w:p>
          <w:p w14:paraId="2F94979B">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Entre los obreros, jornaleros, empleados domésticos, artesanos y de una manera general, todo contrato de trabajo:</w:t>
            </w:r>
          </w:p>
          <w:p w14:paraId="77B30EDF">
            <w:pPr>
              <w:spacing w:after="0" w:line="240" w:lineRule="auto"/>
              <w:jc w:val="both"/>
              <w:rPr>
                <w:rFonts w:ascii="Arial" w:hAnsi="Arial" w:eastAsia="Times New Roman" w:cs="Arial"/>
                <w:sz w:val="26"/>
                <w:szCs w:val="26"/>
                <w:lang w:eastAsia="es-ES"/>
              </w:rPr>
            </w:pPr>
          </w:p>
          <w:p w14:paraId="0E5E2AE7">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V</w:t>
            </w:r>
            <w:r>
              <w:rPr>
                <w:rFonts w:ascii="Arial" w:hAnsi="Arial" w:eastAsia="Times New Roman" w:cs="Arial"/>
                <w:sz w:val="26"/>
                <w:szCs w:val="26"/>
                <w:lang w:eastAsia="es-ES"/>
              </w:rPr>
              <w:t>. …</w:t>
            </w:r>
          </w:p>
          <w:p w14:paraId="2FDB802A">
            <w:pPr>
              <w:spacing w:after="0" w:line="240" w:lineRule="auto"/>
              <w:ind w:left="156"/>
              <w:jc w:val="both"/>
              <w:rPr>
                <w:rFonts w:ascii="Arial" w:hAnsi="Arial" w:eastAsia="Times New Roman" w:cs="Arial"/>
                <w:sz w:val="26"/>
                <w:szCs w:val="26"/>
                <w:lang w:eastAsia="es-ES"/>
              </w:rPr>
            </w:pPr>
          </w:p>
          <w:p w14:paraId="271B3176">
            <w:pPr>
              <w:spacing w:after="0" w:line="240" w:lineRule="auto"/>
              <w:jc w:val="both"/>
              <w:rPr>
                <w:rFonts w:ascii="Arial" w:hAnsi="Arial" w:eastAsia="Times New Roman" w:cs="Arial"/>
                <w:b/>
                <w:bCs/>
                <w:sz w:val="26"/>
                <w:szCs w:val="26"/>
                <w:lang w:eastAsia="es-ES"/>
              </w:rPr>
            </w:pPr>
            <w:r>
              <w:rPr>
                <w:rFonts w:ascii="Arial" w:hAnsi="Arial" w:eastAsia="Times New Roman" w:cs="Arial"/>
                <w:b/>
                <w:bCs/>
                <w:sz w:val="26"/>
                <w:szCs w:val="26"/>
                <w:lang w:eastAsia="es-ES"/>
              </w:rPr>
              <w:t>VI</w:t>
            </w:r>
            <w:r>
              <w:rPr>
                <w:rFonts w:ascii="Arial" w:hAnsi="Arial" w:eastAsia="Times New Roman" w:cs="Arial"/>
                <w:sz w:val="26"/>
                <w:szCs w:val="26"/>
                <w:lang w:eastAsia="es-ES"/>
              </w:rPr>
              <w:t xml:space="preserve">. 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 </w:t>
            </w:r>
            <w:r>
              <w:rPr>
                <w:rFonts w:ascii="Arial" w:hAnsi="Arial" w:eastAsia="Times New Roman" w:cs="Arial"/>
                <w:b/>
                <w:bCs/>
                <w:sz w:val="26"/>
                <w:szCs w:val="26"/>
                <w:lang w:eastAsia="es-ES"/>
              </w:rPr>
              <w:t>La fijación anual de los salarios mínimos generales o profesionales, o la revisión de los mismos, nunca estará por debajo de la inflación observada durante el periodo de su vigencia.</w:t>
            </w:r>
          </w:p>
          <w:p w14:paraId="5F9F2DC6">
            <w:pPr>
              <w:spacing w:after="0" w:line="240" w:lineRule="auto"/>
              <w:ind w:left="156"/>
              <w:jc w:val="both"/>
              <w:rPr>
                <w:rFonts w:ascii="Arial" w:hAnsi="Arial" w:eastAsia="Times New Roman" w:cs="Arial"/>
                <w:sz w:val="26"/>
                <w:szCs w:val="26"/>
                <w:lang w:eastAsia="es-ES"/>
              </w:rPr>
            </w:pPr>
          </w:p>
          <w:p w14:paraId="43E75987">
            <w:pPr>
              <w:spacing w:after="0" w:line="240" w:lineRule="auto"/>
              <w:ind w:left="156"/>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013FECE3">
            <w:pPr>
              <w:spacing w:after="0" w:line="240" w:lineRule="auto"/>
              <w:ind w:left="156"/>
              <w:jc w:val="both"/>
              <w:rPr>
                <w:rFonts w:ascii="Arial" w:hAnsi="Arial" w:eastAsia="Times New Roman" w:cs="Arial"/>
                <w:sz w:val="26"/>
                <w:szCs w:val="26"/>
                <w:lang w:eastAsia="es-ES"/>
              </w:rPr>
            </w:pPr>
          </w:p>
          <w:p w14:paraId="0279A2CD">
            <w:pPr>
              <w:spacing w:after="0" w:line="240" w:lineRule="auto"/>
              <w:ind w:left="156"/>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32E2FA87">
            <w:pPr>
              <w:spacing w:after="0" w:line="240" w:lineRule="auto"/>
              <w:ind w:left="306"/>
              <w:jc w:val="both"/>
              <w:rPr>
                <w:rFonts w:ascii="Arial" w:hAnsi="Arial" w:eastAsia="Times New Roman" w:cs="Arial"/>
                <w:sz w:val="26"/>
                <w:szCs w:val="26"/>
                <w:lang w:eastAsia="es-ES"/>
              </w:rPr>
            </w:pPr>
          </w:p>
          <w:p w14:paraId="462B64E7">
            <w:pPr>
              <w:spacing w:after="0" w:line="240" w:lineRule="auto"/>
              <w:ind w:left="306"/>
              <w:jc w:val="both"/>
              <w:rPr>
                <w:rFonts w:ascii="Arial" w:hAnsi="Arial" w:eastAsia="Times New Roman" w:cs="Arial"/>
                <w:sz w:val="26"/>
                <w:szCs w:val="26"/>
                <w:lang w:eastAsia="es-ES"/>
              </w:rPr>
            </w:pPr>
          </w:p>
          <w:p w14:paraId="7EA850A9">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VII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5E2BA8D2">
            <w:pPr>
              <w:spacing w:after="0" w:line="240" w:lineRule="auto"/>
              <w:jc w:val="both"/>
              <w:rPr>
                <w:rFonts w:ascii="Arial" w:hAnsi="Arial" w:eastAsia="Times New Roman" w:cs="Arial"/>
                <w:sz w:val="26"/>
                <w:szCs w:val="26"/>
                <w:lang w:eastAsia="es-ES"/>
              </w:rPr>
            </w:pPr>
          </w:p>
          <w:p w14:paraId="1235801B">
            <w:pPr>
              <w:spacing w:after="0" w:line="240" w:lineRule="auto"/>
              <w:jc w:val="both"/>
              <w:rPr>
                <w:rFonts w:ascii="Arial" w:hAnsi="Arial" w:eastAsia="Times New Roman" w:cs="Arial"/>
                <w:sz w:val="26"/>
                <w:szCs w:val="26"/>
                <w:lang w:eastAsia="es-ES"/>
              </w:rPr>
            </w:pPr>
          </w:p>
          <w:p w14:paraId="62C4969F">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xml:space="preserve"> …</w:t>
            </w:r>
          </w:p>
          <w:p w14:paraId="1820FF30">
            <w:pPr>
              <w:spacing w:after="0" w:line="240" w:lineRule="auto"/>
              <w:jc w:val="both"/>
              <w:rPr>
                <w:rFonts w:ascii="Arial" w:hAnsi="Arial" w:eastAsia="Times New Roman" w:cs="Arial"/>
                <w:bCs/>
                <w:sz w:val="26"/>
                <w:szCs w:val="26"/>
                <w:lang w:eastAsia="es-ES"/>
              </w:rPr>
            </w:pPr>
          </w:p>
          <w:p w14:paraId="545E4553">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III</w:t>
            </w:r>
            <w:r>
              <w:rPr>
                <w:rFonts w:ascii="Arial" w:hAnsi="Arial" w:eastAsia="Times New Roman" w:cs="Arial"/>
                <w:bCs/>
                <w:sz w:val="26"/>
                <w:szCs w:val="26"/>
                <w:lang w:eastAsia="es-ES"/>
              </w:rPr>
              <w:t>. …</w:t>
            </w:r>
          </w:p>
          <w:p w14:paraId="648EA23F">
            <w:pPr>
              <w:spacing w:after="0" w:line="240" w:lineRule="auto"/>
              <w:ind w:left="164"/>
              <w:jc w:val="both"/>
              <w:rPr>
                <w:rFonts w:ascii="Arial" w:hAnsi="Arial" w:eastAsia="Times New Roman" w:cs="Arial"/>
                <w:bCs/>
                <w:sz w:val="26"/>
                <w:szCs w:val="26"/>
                <w:lang w:eastAsia="es-ES"/>
              </w:rPr>
            </w:pPr>
          </w:p>
          <w:p w14:paraId="0F886B81">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IV.</w:t>
            </w:r>
            <w:r>
              <w:rPr>
                <w:rFonts w:ascii="Arial" w:hAnsi="Arial" w:eastAsia="Times New Roman" w:cs="Arial"/>
                <w:bCs/>
                <w:sz w:val="26"/>
                <w:szCs w:val="26"/>
                <w:lang w:eastAsia="es-ES"/>
              </w:rPr>
              <w:t xml:space="preserve"> Los salarios serán fijados en los presupuestos respectivos sin que su cuantía pueda ser disminuida durante la vigencia de éstos, sujetándose a lo dispuesto en el artículo 127 de esta Constitución y en la ley.</w:t>
            </w:r>
          </w:p>
          <w:p w14:paraId="552F8069">
            <w:pPr>
              <w:spacing w:after="0" w:line="240" w:lineRule="auto"/>
              <w:ind w:left="164" w:firstLine="288"/>
              <w:jc w:val="both"/>
              <w:rPr>
                <w:rFonts w:ascii="Arial" w:hAnsi="Arial" w:eastAsia="Times New Roman" w:cs="Arial"/>
                <w:bCs/>
                <w:sz w:val="26"/>
                <w:szCs w:val="26"/>
                <w:lang w:eastAsia="es-ES"/>
              </w:rPr>
            </w:pPr>
          </w:p>
          <w:p w14:paraId="0235D738">
            <w:pPr>
              <w:spacing w:after="0" w:line="240" w:lineRule="auto"/>
              <w:jc w:val="both"/>
              <w:rPr>
                <w:rFonts w:ascii="Arial" w:hAnsi="Arial" w:eastAsia="Times New Roman" w:cs="Arial"/>
                <w:bCs/>
                <w:sz w:val="26"/>
                <w:szCs w:val="26"/>
                <w:lang w:eastAsia="es-ES"/>
              </w:rPr>
            </w:pPr>
            <w:r>
              <w:rPr>
                <w:rFonts w:ascii="Arial" w:hAnsi="Arial" w:eastAsia="Times New Roman" w:cs="Arial"/>
                <w:bCs/>
                <w:sz w:val="26"/>
                <w:szCs w:val="26"/>
                <w:lang w:eastAsia="es-ES"/>
              </w:rPr>
              <w:t>En ningún caso los salarios podrán ser inferiores al mínimo para los trabajadores en general en las entidades federativas.</w:t>
            </w:r>
          </w:p>
          <w:p w14:paraId="41D07356">
            <w:pPr>
              <w:spacing w:after="0" w:line="240" w:lineRule="auto"/>
              <w:ind w:left="164"/>
              <w:jc w:val="both"/>
              <w:rPr>
                <w:rFonts w:ascii="Arial" w:hAnsi="Arial" w:eastAsia="Times New Roman" w:cs="Arial"/>
                <w:bCs/>
                <w:sz w:val="26"/>
                <w:szCs w:val="26"/>
                <w:lang w:eastAsia="es-ES"/>
              </w:rPr>
            </w:pPr>
          </w:p>
          <w:p w14:paraId="24A77541">
            <w:pPr>
              <w:spacing w:after="0" w:line="240" w:lineRule="auto"/>
              <w:ind w:left="164"/>
              <w:jc w:val="both"/>
              <w:rPr>
                <w:rFonts w:ascii="Arial" w:hAnsi="Arial" w:eastAsia="Times New Roman" w:cs="Arial"/>
                <w:b/>
                <w:sz w:val="26"/>
                <w:szCs w:val="26"/>
                <w:lang w:eastAsia="es-ES"/>
              </w:rPr>
            </w:pPr>
            <w:r>
              <w:rPr>
                <w:rFonts w:ascii="Arial" w:hAnsi="Arial" w:eastAsia="Times New Roman" w:cs="Arial"/>
                <w:b/>
                <w:sz w:val="26"/>
                <w:szCs w:val="26"/>
                <w:lang w:eastAsia="es-ES"/>
              </w:rPr>
              <w:t>Las maestras y los maestros de nivel básico de tiempo completo, policías, guardias nacionales, integrantes de la Fuerza Armada permanente, así como médicos y enfermeros, percibirán un salario mensual que no podrá ser inferior al salario promedio registrado ante el Instituto Mexicano del Seguro Social.</w:t>
            </w:r>
          </w:p>
          <w:p w14:paraId="12A06287">
            <w:pPr>
              <w:spacing w:after="0" w:line="240" w:lineRule="auto"/>
              <w:jc w:val="both"/>
              <w:rPr>
                <w:rFonts w:ascii="Arial" w:hAnsi="Arial" w:eastAsia="Times New Roman" w:cs="Arial"/>
                <w:bCs/>
                <w:sz w:val="26"/>
                <w:szCs w:val="26"/>
                <w:lang w:eastAsia="es-ES"/>
              </w:rPr>
            </w:pPr>
          </w:p>
          <w:p w14:paraId="4A6822C0">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V</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p w14:paraId="06DE242F">
            <w:pPr>
              <w:spacing w:after="0" w:line="240" w:lineRule="auto"/>
              <w:jc w:val="both"/>
              <w:rPr>
                <w:rFonts w:ascii="Arial" w:hAnsi="Arial" w:eastAsia="Times New Roman" w:cs="Arial"/>
                <w:b/>
                <w:bCs/>
                <w:sz w:val="26"/>
                <w:szCs w:val="26"/>
                <w:lang w:eastAsia="es-ES"/>
              </w:rPr>
            </w:pPr>
          </w:p>
        </w:tc>
      </w:tr>
      <w:tr w14:paraId="16A39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000" w:type="pct"/>
            <w:gridSpan w:val="2"/>
            <w:shd w:val="clear" w:color="auto" w:fill="D8D8D8"/>
            <w:tcMar>
              <w:top w:w="0" w:type="dxa"/>
              <w:left w:w="108" w:type="dxa"/>
              <w:bottom w:w="0" w:type="dxa"/>
              <w:right w:w="108" w:type="dxa"/>
            </w:tcMar>
            <w:vAlign w:val="center"/>
          </w:tcPr>
          <w:p w14:paraId="3A70D77E">
            <w:pPr>
              <w:tabs>
                <w:tab w:val="left" w:pos="1724"/>
              </w:tabs>
              <w:ind w:left="165" w:right="184" w:hanging="142"/>
              <w:jc w:val="center"/>
              <w:rPr>
                <w:rFonts w:ascii="Arial" w:hAnsi="Arial" w:eastAsia="Montserrat" w:cs="Arial"/>
                <w:b/>
                <w:kern w:val="2"/>
                <w:sz w:val="26"/>
                <w:szCs w:val="26"/>
                <w14:ligatures w14:val="standardContextual"/>
              </w:rPr>
            </w:pPr>
            <w:r>
              <w:rPr>
                <w:rFonts w:ascii="Arial" w:hAnsi="Arial" w:eastAsia="Montserrat" w:cs="Arial"/>
                <w:b/>
                <w:kern w:val="2"/>
                <w:sz w:val="26"/>
                <w:szCs w:val="26"/>
                <w14:ligatures w14:val="standardContextual"/>
              </w:rPr>
              <w:t>TRANSITORIOS</w:t>
            </w:r>
          </w:p>
        </w:tc>
      </w:tr>
      <w:tr w14:paraId="6FD96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pct"/>
            <w:tcMar>
              <w:top w:w="0" w:type="dxa"/>
              <w:left w:w="108" w:type="dxa"/>
              <w:bottom w:w="0" w:type="dxa"/>
              <w:right w:w="108" w:type="dxa"/>
            </w:tcMar>
          </w:tcPr>
          <w:p w14:paraId="049315F5">
            <w:pPr>
              <w:jc w:val="center"/>
              <w:rPr>
                <w:rFonts w:ascii="Arial" w:hAnsi="Arial" w:eastAsia="Montserrat" w:cs="Arial"/>
                <w:bCs/>
                <w:kern w:val="2"/>
                <w:sz w:val="26"/>
                <w:szCs w:val="26"/>
                <w:highlight w:val="yellow"/>
                <w14:ligatures w14:val="standardContextual"/>
              </w:rPr>
            </w:pPr>
            <w:bookmarkStart w:id="1" w:name="_Hlk155388016"/>
          </w:p>
          <w:p w14:paraId="219B8142">
            <w:pPr>
              <w:jc w:val="center"/>
              <w:rPr>
                <w:rFonts w:ascii="Arial" w:hAnsi="Arial" w:eastAsia="Montserrat" w:cs="Arial"/>
                <w:b/>
                <w:kern w:val="2"/>
                <w:sz w:val="26"/>
                <w:szCs w:val="26"/>
                <w:highlight w:val="yellow"/>
                <w14:ligatures w14:val="standardContextual"/>
              </w:rPr>
            </w:pPr>
            <w:r>
              <w:rPr>
                <w:rFonts w:ascii="Arial" w:hAnsi="Arial" w:eastAsia="Montserrat" w:cs="Arial"/>
                <w:b/>
                <w:i/>
                <w:iCs/>
                <w:kern w:val="2"/>
                <w:sz w:val="26"/>
                <w:szCs w:val="26"/>
                <w14:ligatures w14:val="standardContextual"/>
              </w:rPr>
              <w:t>Sin correlativo</w:t>
            </w:r>
          </w:p>
        </w:tc>
        <w:tc>
          <w:tcPr>
            <w:tcW w:w="2452" w:type="pct"/>
            <w:shd w:val="clear" w:color="auto" w:fill="auto"/>
          </w:tcPr>
          <w:p w14:paraId="79170DB8">
            <w:pPr>
              <w:shd w:val="clear" w:color="auto" w:fill="FFFFFF"/>
              <w:spacing w:after="0" w:line="276" w:lineRule="auto"/>
              <w:contextualSpacing/>
              <w:jc w:val="both"/>
              <w:rPr>
                <w:rFonts w:ascii="Arial" w:hAnsi="Arial" w:eastAsia="Times New Roman" w:cs="Arial"/>
                <w:sz w:val="26"/>
                <w:szCs w:val="26"/>
                <w:lang w:eastAsia="es-MX"/>
              </w:rPr>
            </w:pPr>
            <w:r>
              <w:rPr>
                <w:rFonts w:ascii="Arial" w:hAnsi="Arial" w:eastAsia="Times New Roman" w:cs="Arial"/>
                <w:b/>
                <w:bCs/>
                <w:sz w:val="26"/>
                <w:szCs w:val="26"/>
                <w:lang w:eastAsia="es-MX"/>
              </w:rPr>
              <w:t xml:space="preserve">Primero. </w:t>
            </w:r>
            <w:r>
              <w:rPr>
                <w:rFonts w:ascii="Arial" w:hAnsi="Arial" w:eastAsia="Times New Roman" w:cs="Arial"/>
                <w:sz w:val="26"/>
                <w:szCs w:val="26"/>
                <w:lang w:eastAsia="es-MX"/>
              </w:rPr>
              <w:t>El presente Decreto entrará en vigor al día siguiente de su publicación en el Diario Oficial de la Federación.</w:t>
            </w:r>
          </w:p>
        </w:tc>
      </w:tr>
      <w:tr w14:paraId="7AB7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pct"/>
            <w:tcMar>
              <w:top w:w="0" w:type="dxa"/>
              <w:left w:w="108" w:type="dxa"/>
              <w:bottom w:w="0" w:type="dxa"/>
              <w:right w:w="108" w:type="dxa"/>
            </w:tcMar>
          </w:tcPr>
          <w:p w14:paraId="28CF7B5D">
            <w:pPr>
              <w:jc w:val="center"/>
              <w:rPr>
                <w:rFonts w:ascii="Arial" w:hAnsi="Arial" w:eastAsia="Montserrat" w:cs="Arial"/>
                <w:bCs/>
                <w:kern w:val="2"/>
                <w:sz w:val="26"/>
                <w:szCs w:val="26"/>
                <w:highlight w:val="yellow"/>
                <w14:ligatures w14:val="standardContextual"/>
              </w:rPr>
            </w:pPr>
          </w:p>
          <w:p w14:paraId="1B3A6FA4">
            <w:pPr>
              <w:jc w:val="center"/>
              <w:rPr>
                <w:rFonts w:ascii="Arial" w:hAnsi="Arial" w:eastAsia="Montserrat" w:cs="Arial"/>
                <w:bCs/>
                <w:kern w:val="2"/>
                <w:sz w:val="26"/>
                <w:szCs w:val="26"/>
                <w:highlight w:val="yellow"/>
                <w14:ligatures w14:val="standardContextual"/>
              </w:rPr>
            </w:pPr>
            <w:r>
              <w:rPr>
                <w:rFonts w:ascii="Arial" w:hAnsi="Arial" w:eastAsia="Montserrat" w:cs="Arial"/>
                <w:b/>
                <w:i/>
                <w:iCs/>
                <w:kern w:val="2"/>
                <w:sz w:val="26"/>
                <w:szCs w:val="26"/>
                <w14:ligatures w14:val="standardContextual"/>
              </w:rPr>
              <w:t>Sin correlativo</w:t>
            </w:r>
          </w:p>
        </w:tc>
        <w:tc>
          <w:tcPr>
            <w:tcW w:w="2452" w:type="pct"/>
            <w:shd w:val="clear" w:color="auto" w:fill="auto"/>
          </w:tcPr>
          <w:p w14:paraId="5A6259E0">
            <w:pPr>
              <w:shd w:val="clear" w:color="auto" w:fill="FFFFFF"/>
              <w:spacing w:after="0" w:line="276" w:lineRule="auto"/>
              <w:contextualSpacing/>
              <w:jc w:val="both"/>
              <w:rPr>
                <w:rFonts w:ascii="Arial" w:hAnsi="Arial" w:eastAsia="Times New Roman" w:cs="Arial"/>
                <w:sz w:val="26"/>
                <w:szCs w:val="26"/>
                <w:lang w:eastAsia="es-MX"/>
              </w:rPr>
            </w:pPr>
            <w:r>
              <w:rPr>
                <w:rFonts w:ascii="Arial" w:hAnsi="Arial" w:eastAsia="Times New Roman" w:cs="Arial"/>
                <w:b/>
                <w:bCs/>
                <w:sz w:val="26"/>
                <w:szCs w:val="26"/>
                <w:lang w:eastAsia="es-MX"/>
              </w:rPr>
              <w:t xml:space="preserve">Segundo. </w:t>
            </w:r>
            <w:r>
              <w:rPr>
                <w:rFonts w:ascii="Arial" w:hAnsi="Arial" w:eastAsia="Times New Roman" w:cs="Arial"/>
                <w:sz w:val="26"/>
                <w:szCs w:val="26"/>
                <w:lang w:eastAsia="es-MX"/>
              </w:rPr>
              <w:t>El salario a que hace referencia el párrafo tercero de la fracción IV del Apartado B del artículo 123 de esta Constitución es de dieciséis mil setecientos setenta y siete pesos con sesenta y ocho centavos, que equivale al salario mensual promedio registrado en 2023 en el Instituto Mexicano del Seguro Social actualizado por la inflación estimada para el año 2024.</w:t>
            </w:r>
          </w:p>
          <w:p w14:paraId="735564D7">
            <w:pPr>
              <w:shd w:val="clear" w:color="auto" w:fill="FFFFFF"/>
              <w:spacing w:after="0" w:line="276" w:lineRule="auto"/>
              <w:contextualSpacing/>
              <w:jc w:val="both"/>
              <w:rPr>
                <w:rFonts w:ascii="Arial" w:hAnsi="Arial" w:eastAsia="Times New Roman" w:cs="Arial"/>
                <w:sz w:val="26"/>
                <w:szCs w:val="26"/>
                <w:lang w:eastAsia="es-MX"/>
              </w:rPr>
            </w:pPr>
          </w:p>
          <w:p w14:paraId="25579BDC">
            <w:pPr>
              <w:shd w:val="clear" w:color="auto" w:fill="FFFFFF"/>
              <w:spacing w:after="0" w:line="276" w:lineRule="auto"/>
              <w:contextualSpacing/>
              <w:jc w:val="both"/>
              <w:rPr>
                <w:rFonts w:ascii="Arial" w:hAnsi="Arial" w:eastAsia="Times New Roman" w:cs="Arial"/>
                <w:sz w:val="26"/>
                <w:szCs w:val="26"/>
                <w:lang w:eastAsia="es-MX"/>
              </w:rPr>
            </w:pPr>
            <w:r>
              <w:rPr>
                <w:rFonts w:ascii="Arial" w:hAnsi="Arial" w:eastAsia="Times New Roman" w:cs="Arial"/>
                <w:sz w:val="26"/>
                <w:szCs w:val="26"/>
                <w:lang w:eastAsia="es-MX"/>
              </w:rPr>
              <w:t>Este monto se actualizará el 1° de enero de cada año, de acuerdo con la inflación estimada para ese año.</w:t>
            </w:r>
          </w:p>
        </w:tc>
      </w:tr>
      <w:bookmarkEnd w:id="0"/>
      <w:bookmarkEnd w:id="1"/>
    </w:tbl>
    <w:p w14:paraId="3A4838B8">
      <w:pPr>
        <w:spacing w:after="0" w:line="360" w:lineRule="auto"/>
        <w:contextualSpacing/>
        <w:jc w:val="both"/>
        <w:rPr>
          <w:rFonts w:ascii="Arial" w:hAnsi="Arial" w:eastAsia="Calibri" w:cs="Arial"/>
          <w:sz w:val="24"/>
          <w:szCs w:val="24"/>
        </w:rPr>
      </w:pPr>
    </w:p>
    <w:p w14:paraId="360BC957">
      <w:pPr>
        <w:spacing w:after="0" w:line="240" w:lineRule="auto"/>
        <w:jc w:val="center"/>
        <w:rPr>
          <w:rFonts w:ascii="Arial" w:hAnsi="Arial" w:cs="Arial"/>
          <w:b/>
          <w:color w:val="000000" w:themeColor="text1"/>
          <w:sz w:val="26"/>
          <w:szCs w:val="26"/>
          <w14:textFill>
            <w14:solidFill>
              <w14:schemeClr w14:val="tx1"/>
            </w14:solidFill>
          </w14:textFill>
        </w:rPr>
      </w:pPr>
      <w:r>
        <w:rPr>
          <w:rFonts w:ascii="Arial" w:hAnsi="Arial" w:eastAsia="Calibri" w:cs="Arial"/>
          <w:b/>
          <w:bCs/>
          <w:sz w:val="26"/>
          <w:szCs w:val="26"/>
          <w:lang w:eastAsia="es-MX"/>
        </w:rPr>
        <w:drawing>
          <wp:anchor distT="0" distB="0" distL="114300" distR="114300" simplePos="0" relativeHeight="251660288" behindDoc="1" locked="0" layoutInCell="1" allowOverlap="1">
            <wp:simplePos x="0" y="0"/>
            <wp:positionH relativeFrom="margin">
              <wp:posOffset>939165</wp:posOffset>
            </wp:positionH>
            <wp:positionV relativeFrom="paragraph">
              <wp:posOffset>7331710</wp:posOffset>
            </wp:positionV>
            <wp:extent cx="5408295" cy="1028700"/>
            <wp:effectExtent l="0" t="0" r="1905"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extLst>
                        <a:ext uri="{28A0092B-C50C-407E-A947-70E740481C1C}">
                          <a14:useLocalDpi xmlns:a14="http://schemas.microsoft.com/office/drawing/2010/main" val="0"/>
                        </a:ext>
                      </a:extLst>
                    </a:blip>
                    <a:srcRect l="35119" t="68579" r="14781" b="14472"/>
                    <a:stretch>
                      <a:fillRect/>
                    </a:stretch>
                  </pic:blipFill>
                  <pic:spPr>
                    <a:xfrm>
                      <a:off x="0" y="0"/>
                      <a:ext cx="5408295" cy="1028700"/>
                    </a:xfrm>
                    <a:prstGeom prst="rect">
                      <a:avLst/>
                    </a:prstGeom>
                    <a:ln>
                      <a:noFill/>
                    </a:ln>
                  </pic:spPr>
                </pic:pic>
              </a:graphicData>
            </a:graphic>
          </wp:anchor>
        </w:drawing>
      </w:r>
      <w:r>
        <w:rPr>
          <w:rFonts w:ascii="Arial" w:hAnsi="Arial" w:eastAsia="Calibri" w:cs="Arial"/>
          <w:b/>
          <w:bCs/>
          <w:sz w:val="26"/>
          <w:szCs w:val="26"/>
          <w:lang w:eastAsia="es-MX"/>
        </w:rPr>
        <w:drawing>
          <wp:anchor distT="0" distB="0" distL="114300" distR="114300" simplePos="0" relativeHeight="251659264" behindDoc="1" locked="0" layoutInCell="1" allowOverlap="1">
            <wp:simplePos x="0" y="0"/>
            <wp:positionH relativeFrom="margin">
              <wp:posOffset>939165</wp:posOffset>
            </wp:positionH>
            <wp:positionV relativeFrom="paragraph">
              <wp:posOffset>7331710</wp:posOffset>
            </wp:positionV>
            <wp:extent cx="5408295" cy="1028700"/>
            <wp:effectExtent l="0" t="0" r="1905" b="0"/>
            <wp:wrapNone/>
            <wp:docPr id="21384217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421788" name="Imagen 1"/>
                    <pic:cNvPicPr>
                      <a:picLocks noChangeAspect="1"/>
                    </pic:cNvPicPr>
                  </pic:nvPicPr>
                  <pic:blipFill>
                    <a:blip r:embed="rId8">
                      <a:extLst>
                        <a:ext uri="{28A0092B-C50C-407E-A947-70E740481C1C}">
                          <a14:useLocalDpi xmlns:a14="http://schemas.microsoft.com/office/drawing/2010/main" val="0"/>
                        </a:ext>
                      </a:extLst>
                    </a:blip>
                    <a:srcRect l="35119" t="68579" r="14781" b="14472"/>
                    <a:stretch>
                      <a:fillRect/>
                    </a:stretch>
                  </pic:blipFill>
                  <pic:spPr>
                    <a:xfrm>
                      <a:off x="0" y="0"/>
                      <a:ext cx="5408295" cy="1028700"/>
                    </a:xfrm>
                    <a:prstGeom prst="rect">
                      <a:avLst/>
                    </a:prstGeom>
                    <a:ln>
                      <a:noFill/>
                    </a:ln>
                  </pic:spPr>
                </pic:pic>
              </a:graphicData>
            </a:graphic>
          </wp:anchor>
        </w:drawing>
      </w:r>
      <w:r>
        <w:rPr>
          <w:rFonts w:ascii="Arial" w:hAnsi="Arial" w:eastAsia="Calibri" w:cs="Arial"/>
          <w:b/>
          <w:bCs/>
          <w:sz w:val="26"/>
          <w:szCs w:val="26"/>
          <w:lang w:eastAsia="es-MX"/>
        </w:rPr>
        <w:t xml:space="preserve">C. </w:t>
      </w:r>
      <w:r>
        <w:rPr>
          <w:rFonts w:ascii="Arial" w:hAnsi="Arial" w:cs="Arial"/>
          <w:b/>
          <w:color w:val="000000" w:themeColor="text1"/>
          <w:sz w:val="26"/>
          <w:szCs w:val="26"/>
          <w14:textFill>
            <w14:solidFill>
              <w14:schemeClr w14:val="tx1"/>
            </w14:solidFill>
          </w14:textFill>
        </w:rPr>
        <w:t>OPINIÓN</w:t>
      </w:r>
    </w:p>
    <w:p w14:paraId="0B69CFFC">
      <w:pPr>
        <w:spacing w:after="0" w:line="240" w:lineRule="auto"/>
        <w:ind w:left="-76"/>
        <w:jc w:val="both"/>
        <w:rPr>
          <w:rFonts w:ascii="Arial" w:hAnsi="Arial" w:cs="Arial"/>
          <w:bCs/>
          <w:color w:val="000000" w:themeColor="text1"/>
          <w:sz w:val="26"/>
          <w:szCs w:val="26"/>
          <w14:textFill>
            <w14:solidFill>
              <w14:schemeClr w14:val="tx1"/>
            </w14:solidFill>
          </w14:textFill>
        </w:rPr>
      </w:pPr>
    </w:p>
    <w:p w14:paraId="164182EC">
      <w:pPr>
        <w:spacing w:after="0" w:line="240" w:lineRule="auto"/>
        <w:ind w:left="-76"/>
        <w:jc w:val="both"/>
        <w:rPr>
          <w:rFonts w:ascii="Arial" w:hAnsi="Arial" w:cs="Arial"/>
          <w:bCs/>
          <w:color w:val="000000" w:themeColor="text1"/>
          <w:sz w:val="26"/>
          <w:szCs w:val="26"/>
          <w14:textFill>
            <w14:solidFill>
              <w14:schemeClr w14:val="tx1"/>
            </w14:solidFill>
          </w14:textFill>
        </w:rPr>
      </w:pPr>
      <w:r>
        <w:rPr>
          <w:rFonts w:ascii="Arial" w:hAnsi="Arial" w:cs="Arial"/>
          <w:bCs/>
          <w:color w:val="000000" w:themeColor="text1"/>
          <w:sz w:val="26"/>
          <w:szCs w:val="26"/>
          <w14:textFill>
            <w14:solidFill>
              <w14:schemeClr w14:val="tx1"/>
            </w14:solidFill>
          </w14:textFill>
        </w:rPr>
        <w:t>La Secretaría de Hacienda y Crédito Público, el Centro de Estudios de las Finanzas Públicas y la Comisión de Presupuesto y Cuenta Pública, rindieron opinión de impacto presupuestario sobre la iniciativa del Presidente de la República que se analiza.</w:t>
      </w:r>
    </w:p>
    <w:p w14:paraId="4127D078">
      <w:pPr>
        <w:spacing w:after="0" w:line="240" w:lineRule="auto"/>
        <w:ind w:left="-76"/>
        <w:jc w:val="both"/>
        <w:rPr>
          <w:rFonts w:ascii="Arial" w:hAnsi="Arial" w:cs="Arial"/>
          <w:b/>
          <w:color w:val="000000" w:themeColor="text1"/>
          <w:sz w:val="26"/>
          <w:szCs w:val="26"/>
          <w14:textFill>
            <w14:solidFill>
              <w14:schemeClr w14:val="tx1"/>
            </w14:solidFill>
          </w14:textFill>
        </w:rPr>
      </w:pPr>
    </w:p>
    <w:p w14:paraId="5C5E50E3">
      <w:pPr>
        <w:numPr>
          <w:ilvl w:val="0"/>
          <w:numId w:val="3"/>
        </w:numPr>
        <w:spacing w:after="0" w:line="240" w:lineRule="auto"/>
        <w:jc w:val="both"/>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De la Secretaría de Hacienda y Crédito Público.</w:t>
      </w:r>
      <w:r>
        <w:rPr>
          <w:rFonts w:ascii="Arial" w:hAnsi="Arial" w:cs="Arial"/>
          <w:bCs/>
          <w:color w:val="000000" w:themeColor="text1"/>
          <w:sz w:val="26"/>
          <w:szCs w:val="26"/>
          <w14:textFill>
            <w14:solidFill>
              <w14:schemeClr w14:val="tx1"/>
            </w14:solidFill>
          </w14:textFill>
        </w:rPr>
        <w:t xml:space="preserve"> Al presentarse la iniciativa del Presidente de la República que aquí se dictamina, se acompañó la opinión de impacto presupuestario rendida por la Secretaría de Hacienda y Crédito Público del Gobierno Federal, que se asocia con este dictamen.</w:t>
      </w:r>
    </w:p>
    <w:p w14:paraId="61B6709D">
      <w:pPr>
        <w:spacing w:after="0" w:line="240" w:lineRule="auto"/>
        <w:jc w:val="both"/>
        <w:rPr>
          <w:rFonts w:ascii="Arial" w:hAnsi="Arial" w:cs="Arial"/>
          <w:bCs/>
          <w:color w:val="000000" w:themeColor="text1"/>
          <w:sz w:val="26"/>
          <w:szCs w:val="26"/>
          <w14:textFill>
            <w14:solidFill>
              <w14:schemeClr w14:val="tx1"/>
            </w14:solidFill>
          </w14:textFill>
        </w:rPr>
      </w:pPr>
    </w:p>
    <w:p w14:paraId="0A92B6CE">
      <w:pPr>
        <w:spacing w:after="0" w:line="240" w:lineRule="auto"/>
        <w:jc w:val="both"/>
        <w:rPr>
          <w:rFonts w:ascii="Arial" w:hAnsi="Arial" w:cs="Arial"/>
          <w:b/>
          <w:color w:val="000000" w:themeColor="text1"/>
          <w:sz w:val="26"/>
          <w:szCs w:val="26"/>
          <w14:textFill>
            <w14:solidFill>
              <w14:schemeClr w14:val="tx1"/>
            </w14:solidFill>
          </w14:textFill>
        </w:rPr>
      </w:pPr>
      <w:r>
        <w:rPr>
          <w:rFonts w:ascii="Arial" w:hAnsi="Arial" w:cs="Arial"/>
          <w:bCs/>
          <w:color w:val="000000" w:themeColor="text1"/>
          <w:sz w:val="26"/>
          <w:szCs w:val="26"/>
          <w14:textFill>
            <w14:solidFill>
              <w14:schemeClr w14:val="tx1"/>
            </w14:solidFill>
          </w14:textFill>
        </w:rPr>
        <w:t>En la opinión, la Secretaría de Hacienda y Crédito Público expresa, en síntesis, que de la propuesta de modificación constitucional no se sigue carga u obligación presupuestaria para el erario público. Se anexa la opinión</w:t>
      </w:r>
    </w:p>
    <w:p w14:paraId="34A7C6CF">
      <w:pPr>
        <w:spacing w:after="0" w:line="240" w:lineRule="auto"/>
        <w:ind w:left="709"/>
        <w:jc w:val="both"/>
        <w:rPr>
          <w:rFonts w:ascii="Arial" w:hAnsi="Arial" w:cs="Arial"/>
          <w:i/>
          <w:color w:val="000000" w:themeColor="text1"/>
          <w:sz w:val="26"/>
          <w:szCs w:val="26"/>
          <w14:textFill>
            <w14:solidFill>
              <w14:schemeClr w14:val="tx1"/>
            </w14:solidFill>
          </w14:textFill>
        </w:rPr>
      </w:pPr>
    </w:p>
    <w:p w14:paraId="1DC78B8A">
      <w:pPr>
        <w:numPr>
          <w:ilvl w:val="0"/>
          <w:numId w:val="3"/>
        </w:numPr>
        <w:spacing w:after="0" w:line="240" w:lineRule="auto"/>
        <w:jc w:val="both"/>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 xml:space="preserve">Del Centro de Estudios de las Finanzas Públicas. </w:t>
      </w:r>
      <w:r>
        <w:rPr>
          <w:rFonts w:ascii="Arial" w:hAnsi="Arial" w:cs="Arial"/>
          <w:bCs/>
          <w:color w:val="000000" w:themeColor="text1"/>
          <w:sz w:val="26"/>
          <w:szCs w:val="26"/>
          <w14:textFill>
            <w14:solidFill>
              <w14:schemeClr w14:val="tx1"/>
            </w14:solidFill>
          </w14:textFill>
        </w:rPr>
        <w:t>El Centro de Estudios de las Finanzas Públicas de la Cámara de Diputados del Congreso de la Unión, luego de ponderar la iniciativa del Presidente de la República, arribó a la conclusión siguiente:</w:t>
      </w:r>
    </w:p>
    <w:p w14:paraId="6D630981">
      <w:pPr>
        <w:spacing w:after="0" w:line="240" w:lineRule="auto"/>
        <w:jc w:val="both"/>
        <w:rPr>
          <w:rFonts w:ascii="Arial" w:hAnsi="Arial" w:cs="Arial"/>
          <w:bCs/>
          <w:color w:val="000000" w:themeColor="text1"/>
          <w:sz w:val="26"/>
          <w:szCs w:val="26"/>
          <w14:textFill>
            <w14:solidFill>
              <w14:schemeClr w14:val="tx1"/>
            </w14:solidFill>
          </w14:textFill>
        </w:rPr>
      </w:pPr>
    </w:p>
    <w:p w14:paraId="621790D6">
      <w:pPr>
        <w:spacing w:after="0" w:line="240" w:lineRule="auto"/>
        <w:jc w:val="both"/>
        <w:rPr>
          <w:rFonts w:ascii="Arial" w:hAnsi="Arial" w:cs="Arial"/>
          <w:bCs/>
          <w:i/>
          <w:iCs/>
          <w:color w:val="000000" w:themeColor="text1"/>
          <w:sz w:val="26"/>
          <w:szCs w:val="26"/>
          <w14:textFill>
            <w14:solidFill>
              <w14:schemeClr w14:val="tx1"/>
            </w14:solidFill>
          </w14:textFill>
        </w:rPr>
      </w:pPr>
      <w:r>
        <w:rPr>
          <w:rFonts w:ascii="Arial" w:hAnsi="Arial" w:cs="Arial"/>
          <w:bCs/>
          <w:color w:val="000000" w:themeColor="text1"/>
          <w:sz w:val="26"/>
          <w:szCs w:val="26"/>
          <w14:textFill>
            <w14:solidFill>
              <w14:schemeClr w14:val="tx1"/>
            </w14:solidFill>
          </w14:textFill>
        </w:rPr>
        <w:t>“</w:t>
      </w:r>
      <w:r>
        <w:rPr>
          <w:rFonts w:ascii="Arial" w:hAnsi="Arial" w:cs="Arial"/>
          <w:bCs/>
          <w:i/>
          <w:iCs/>
          <w:color w:val="000000" w:themeColor="text1"/>
          <w:sz w:val="26"/>
          <w:szCs w:val="26"/>
          <w:lang w:eastAsia="zh-CN"/>
          <w14:textFill>
            <w14:solidFill>
              <w14:schemeClr w14:val="tx1"/>
            </w14:solidFill>
          </w14:textFill>
        </w:rPr>
        <w:t xml:space="preserve">La entrada en vigor de la iniciativa objeto de esta valoración generaría un impacto presupuestario anual al Erario Federal estimado en 39 mil 864 mdp a precios de 2024, derivado de homologar los salarios de los servidores públicos referidos con el salario promedio registrado ante el IMSS. </w:t>
      </w:r>
    </w:p>
    <w:p w14:paraId="33DACBF7">
      <w:pPr>
        <w:spacing w:after="0" w:line="240" w:lineRule="auto"/>
        <w:jc w:val="both"/>
        <w:rPr>
          <w:rFonts w:ascii="Arial" w:hAnsi="Arial" w:cs="Arial"/>
          <w:bCs/>
          <w:i/>
          <w:iCs/>
          <w:color w:val="000000" w:themeColor="text1"/>
          <w:sz w:val="26"/>
          <w:szCs w:val="26"/>
          <w:lang w:eastAsia="zh-CN"/>
          <w14:textFill>
            <w14:solidFill>
              <w14:schemeClr w14:val="tx1"/>
            </w14:solidFill>
          </w14:textFill>
        </w:rPr>
      </w:pPr>
    </w:p>
    <w:p w14:paraId="19B5B5D1">
      <w:pPr>
        <w:spacing w:after="0" w:line="240" w:lineRule="auto"/>
        <w:jc w:val="both"/>
        <w:rPr>
          <w:rFonts w:ascii="Arial" w:hAnsi="Arial" w:cs="Arial"/>
          <w:bCs/>
          <w:color w:val="000000" w:themeColor="text1"/>
          <w:sz w:val="26"/>
          <w:szCs w:val="26"/>
          <w:lang w:eastAsia="zh-CN"/>
          <w14:textFill>
            <w14:solidFill>
              <w14:schemeClr w14:val="tx1"/>
            </w14:solidFill>
          </w14:textFill>
        </w:rPr>
      </w:pPr>
      <w:r>
        <w:rPr>
          <w:rFonts w:ascii="Arial" w:hAnsi="Arial" w:cs="Arial"/>
          <w:bCs/>
          <w:i/>
          <w:iCs/>
          <w:color w:val="000000" w:themeColor="text1"/>
          <w:sz w:val="26"/>
          <w:szCs w:val="26"/>
          <w:lang w:eastAsia="zh-CN"/>
          <w14:textFill>
            <w14:solidFill>
              <w14:schemeClr w14:val="tx1"/>
            </w14:solidFill>
          </w14:textFill>
        </w:rPr>
        <w:t xml:space="preserve">Con respecto al punto 1 del objeto referente a que la fijación anual de los salarios mínimos generales o profesionales, o la revisión de los mismos, nunca estará por debajo de la inflación observada durante el periodo de su vigencia, el impacto presupuestario anual de ejercicios fiscales posteriores tenderá a incrementarse de acuerdo con la inflación registrada con respecto al impacto presupuestario estimado a precios de 2024, siempre y cuando la estructura de las plazas en comento se mantengan constantes.” </w:t>
      </w:r>
      <w:r>
        <w:rPr>
          <w:rFonts w:ascii="Arial" w:hAnsi="Arial" w:cs="Arial"/>
          <w:bCs/>
          <w:color w:val="000000" w:themeColor="text1"/>
          <w:sz w:val="26"/>
          <w:szCs w:val="26"/>
          <w:lang w:eastAsia="zh-CN"/>
          <w14:textFill>
            <w14:solidFill>
              <w14:schemeClr w14:val="tx1"/>
            </w14:solidFill>
          </w14:textFill>
        </w:rPr>
        <w:t>Se anexa la opinión.</w:t>
      </w:r>
    </w:p>
    <w:p w14:paraId="2AA65210">
      <w:pPr>
        <w:spacing w:after="0" w:line="240" w:lineRule="auto"/>
        <w:jc w:val="both"/>
        <w:rPr>
          <w:rFonts w:ascii="Arial" w:hAnsi="Arial" w:cs="Arial"/>
          <w:bCs/>
          <w:color w:val="000000" w:themeColor="text1"/>
          <w:sz w:val="26"/>
          <w:szCs w:val="26"/>
          <w:lang w:eastAsia="zh-CN"/>
          <w14:textFill>
            <w14:solidFill>
              <w14:schemeClr w14:val="tx1"/>
            </w14:solidFill>
          </w14:textFill>
        </w:rPr>
      </w:pPr>
    </w:p>
    <w:p w14:paraId="4BC53B7C">
      <w:pPr>
        <w:numPr>
          <w:ilvl w:val="0"/>
          <w:numId w:val="3"/>
        </w:numPr>
        <w:spacing w:after="0" w:line="240" w:lineRule="auto"/>
        <w:jc w:val="both"/>
        <w:rPr>
          <w:rFonts w:ascii="Arial" w:hAnsi="Arial" w:cs="Arial"/>
          <w:bCs/>
          <w:color w:val="000000" w:themeColor="text1"/>
          <w:sz w:val="26"/>
          <w:szCs w:val="26"/>
          <w:lang w:eastAsia="zh-CN"/>
          <w14:textFill>
            <w14:solidFill>
              <w14:schemeClr w14:val="tx1"/>
            </w14:solidFill>
          </w14:textFill>
        </w:rPr>
      </w:pPr>
      <w:r>
        <w:rPr>
          <w:rFonts w:ascii="Arial" w:hAnsi="Arial" w:cs="Arial"/>
          <w:b/>
          <w:color w:val="000000" w:themeColor="text1"/>
          <w:sz w:val="26"/>
          <w:szCs w:val="26"/>
          <w:lang w:eastAsia="zh-CN"/>
          <w14:textFill>
            <w14:solidFill>
              <w14:schemeClr w14:val="tx1"/>
            </w14:solidFill>
          </w14:textFill>
        </w:rPr>
        <w:t xml:space="preserve">De la Comisión de Presupuesto y Cuenta Pública. </w:t>
      </w:r>
      <w:r>
        <w:rPr>
          <w:rFonts w:ascii="Arial" w:hAnsi="Arial" w:cs="Arial"/>
          <w:bCs/>
          <w:color w:val="000000" w:themeColor="text1"/>
          <w:sz w:val="26"/>
          <w:szCs w:val="26"/>
          <w:lang w:eastAsia="zh-CN"/>
          <w14:textFill>
            <w14:solidFill>
              <w14:schemeClr w14:val="tx1"/>
            </w14:solidFill>
          </w14:textFill>
        </w:rPr>
        <w:t>La Comisión de Presupuesto, luego de realizar un análisis de la iniciativa del Presidente de la República que se analiza, llegó a la conclusión de que su impacto presupuestario asciende a 39 864 millones de pesos, con valores de 2024. Se anexa la opinión.</w:t>
      </w:r>
    </w:p>
    <w:p w14:paraId="24FDF938">
      <w:pPr>
        <w:spacing w:after="0" w:line="240" w:lineRule="auto"/>
        <w:jc w:val="both"/>
        <w:rPr>
          <w:rFonts w:ascii="Arial" w:hAnsi="Arial" w:cs="Arial"/>
          <w:bCs/>
          <w:color w:val="000000" w:themeColor="text1"/>
          <w:sz w:val="26"/>
          <w:szCs w:val="26"/>
          <w14:textFill>
            <w14:solidFill>
              <w14:schemeClr w14:val="tx1"/>
            </w14:solidFill>
          </w14:textFill>
        </w:rPr>
      </w:pPr>
    </w:p>
    <w:p w14:paraId="31B89FDC">
      <w:pPr>
        <w:spacing w:after="0" w:line="240" w:lineRule="auto"/>
        <w:jc w:val="center"/>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D. CONSIDERACIONES</w:t>
      </w:r>
    </w:p>
    <w:p w14:paraId="7601FC8F">
      <w:pPr>
        <w:spacing w:after="0" w:line="240" w:lineRule="auto"/>
        <w:jc w:val="both"/>
        <w:rPr>
          <w:rFonts w:ascii="Arial" w:hAnsi="Arial" w:cs="Arial"/>
          <w:color w:val="000000" w:themeColor="text1"/>
          <w:sz w:val="26"/>
          <w:szCs w:val="26"/>
          <w14:textFill>
            <w14:solidFill>
              <w14:schemeClr w14:val="tx1"/>
            </w14:solidFill>
          </w14:textFill>
        </w:rPr>
      </w:pPr>
    </w:p>
    <w:p w14:paraId="36A2C92C">
      <w:pPr>
        <w:spacing w:after="0" w:line="240" w:lineRule="auto"/>
        <w:jc w:val="both"/>
        <w:rPr>
          <w:rFonts w:ascii="Arial" w:hAnsi="Arial" w:cs="Arial"/>
          <w:color w:val="000000" w:themeColor="text1"/>
          <w:sz w:val="26"/>
          <w:szCs w:val="26"/>
          <w14:textFill>
            <w14:solidFill>
              <w14:schemeClr w14:val="tx1"/>
            </w14:solidFill>
          </w14:textFill>
        </w:rPr>
      </w:pPr>
      <w:r>
        <w:rPr>
          <w:rFonts w:ascii="Arial" w:hAnsi="Arial" w:cs="Arial"/>
          <w:color w:val="000000" w:themeColor="text1"/>
          <w:sz w:val="26"/>
          <w:szCs w:val="26"/>
          <w14:textFill>
            <w14:solidFill>
              <w14:schemeClr w14:val="tx1"/>
            </w14:solidFill>
          </w14:textFill>
        </w:rPr>
        <w:t>En el presente apartado esta Comisión de Puntos Constitucionales de la Cámara de Diputados expone los razonamientos y argumentos que sustentan este dictamen.</w:t>
      </w:r>
    </w:p>
    <w:p w14:paraId="677CD378">
      <w:pPr>
        <w:spacing w:after="0" w:line="240" w:lineRule="auto"/>
        <w:jc w:val="both"/>
        <w:rPr>
          <w:rFonts w:ascii="Arial" w:hAnsi="Arial" w:cs="Arial"/>
          <w:color w:val="000000" w:themeColor="text1"/>
          <w:sz w:val="26"/>
          <w:szCs w:val="26"/>
          <w14:textFill>
            <w14:solidFill>
              <w14:schemeClr w14:val="tx1"/>
            </w14:solidFill>
          </w14:textFill>
        </w:rPr>
      </w:pPr>
    </w:p>
    <w:p w14:paraId="4829E609">
      <w:p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PRIMERA. - De la Competencia.</w:t>
      </w:r>
      <w:r>
        <w:rPr>
          <w:rFonts w:ascii="Arial" w:hAnsi="Arial" w:eastAsia="MS Mincho" w:cs="Arial"/>
          <w:color w:val="000000" w:themeColor="text1"/>
          <w:sz w:val="26"/>
          <w:szCs w:val="26"/>
          <w:lang w:eastAsia="es-ES"/>
          <w14:textFill>
            <w14:solidFill>
              <w14:schemeClr w14:val="tx1"/>
            </w14:solidFill>
          </w14:textFill>
        </w:rPr>
        <w:t xml:space="preserve"> La Comisión de Puntos Constitucionales de la Cámara de Diputados, LXV Legislatura, es competente por materia y turno de la Mesa Directiva de la Cámara de Diputados, para dictaminar </w:t>
      </w:r>
      <w:r>
        <w:rPr>
          <w:rFonts w:ascii="Arial" w:hAnsi="Arial" w:cs="Arial"/>
          <w:iCs/>
          <w:color w:val="000000" w:themeColor="text1"/>
          <w:sz w:val="26"/>
          <w:szCs w:val="26"/>
          <w14:textFill>
            <w14:solidFill>
              <w14:schemeClr w14:val="tx1"/>
            </w14:solidFill>
          </w14:textFill>
        </w:rPr>
        <w:t>la iniciativa objeto del presente instrumento</w:t>
      </w:r>
      <w:r>
        <w:rPr>
          <w:rFonts w:ascii="Arial" w:hAnsi="Arial" w:eastAsia="MS Mincho" w:cs="Arial"/>
          <w:color w:val="000000" w:themeColor="text1"/>
          <w:sz w:val="26"/>
          <w:szCs w:val="26"/>
          <w:lang w:eastAsia="es-ES"/>
          <w14:textFill>
            <w14:solidFill>
              <w14:schemeClr w14:val="tx1"/>
            </w14:solidFill>
          </w14:textFill>
        </w:rPr>
        <w:t xml:space="preserve"> que propone la modificación del Artículo 123 de la Constitución Política de los Estados Unidos Mexicanos, en materia de salarios</w:t>
      </w:r>
      <w:r>
        <w:rPr>
          <w:rFonts w:ascii="Arial" w:hAnsi="Arial" w:cs="Arial"/>
          <w:iCs/>
          <w:color w:val="000000" w:themeColor="text1"/>
          <w:sz w:val="26"/>
          <w:szCs w:val="26"/>
          <w14:textFill>
            <w14:solidFill>
              <w14:schemeClr w14:val="tx1"/>
            </w14:solidFill>
          </w14:textFill>
        </w:rPr>
        <w:t>.</w:t>
      </w:r>
    </w:p>
    <w:p w14:paraId="58560069">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B863AB8">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Lo anterior, de conformidad con lo que establecen los artículos 71 fracción I y 72 de la Constitución Política de los Estados Unidos Mexicanos; 39 numeral 2 fracción XXXVI, 43 numeral 1 y 45, numeral 6 incisos e) y f) de la Ley Orgánica del Congreso General de los Estados Unidos Mexicanos; 80, 82 numeral 1, 84, 85, 157 numeral 1 fracción I; 158 numeral 1 fracción IV y 167 del Reglamento de la Cámara de Diputados.</w:t>
      </w:r>
    </w:p>
    <w:p w14:paraId="14852147">
      <w:pPr>
        <w:autoSpaceDE w:val="0"/>
        <w:autoSpaceDN w:val="0"/>
        <w:adjustRightInd w:val="0"/>
        <w:spacing w:after="0" w:line="240" w:lineRule="auto"/>
        <w:jc w:val="both"/>
        <w:rPr>
          <w:rFonts w:ascii="Arial" w:hAnsi="Arial" w:eastAsia="MS Mincho" w:cs="Arial"/>
          <w:b/>
          <w:bCs/>
          <w:color w:val="000000" w:themeColor="text1"/>
          <w:sz w:val="26"/>
          <w:szCs w:val="26"/>
          <w:lang w:eastAsia="es-ES"/>
          <w14:textFill>
            <w14:solidFill>
              <w14:schemeClr w14:val="tx1"/>
            </w14:solidFill>
          </w14:textFill>
        </w:rPr>
      </w:pPr>
    </w:p>
    <w:p w14:paraId="53604A52">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 xml:space="preserve">SEGUNDA. – Estudio de la iniciativa. </w:t>
      </w:r>
      <w:r>
        <w:rPr>
          <w:rFonts w:ascii="Arial" w:hAnsi="Arial" w:eastAsia="MS Mincho" w:cs="Arial"/>
          <w:bCs/>
          <w:color w:val="000000" w:themeColor="text1"/>
          <w:sz w:val="26"/>
          <w:szCs w:val="26"/>
          <w:lang w:eastAsia="es-ES"/>
          <w14:textFill>
            <w14:solidFill>
              <w14:schemeClr w14:val="tx1"/>
            </w14:solidFill>
          </w14:textFill>
        </w:rPr>
        <w:t>El Presidente de República presenta iniciativa con proyecto de Decreto por el cual propone la modificación al Artículo 123 de la Constitución Política de los Estados Unidos Mexicanos, en el sentido subsecuente:</w:t>
      </w:r>
    </w:p>
    <w:p w14:paraId="0E9CE5CB">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2BE61C2F">
      <w:pPr>
        <w:spacing w:after="0" w:line="240" w:lineRule="auto"/>
        <w:jc w:val="both"/>
        <w:rPr>
          <w:rFonts w:ascii="Arial" w:hAnsi="Arial" w:eastAsia="Times New Roman" w:cs="Arial"/>
          <w:sz w:val="26"/>
          <w:szCs w:val="26"/>
          <w:lang w:eastAsia="es-ES"/>
        </w:rPr>
      </w:pPr>
      <w:r>
        <w:rPr>
          <w:rFonts w:ascii="Arial" w:hAnsi="Arial" w:eastAsia="MS Mincho" w:cs="Arial"/>
          <w:bCs/>
          <w:color w:val="000000" w:themeColor="text1"/>
          <w:sz w:val="26"/>
          <w:szCs w:val="26"/>
          <w:lang w:eastAsia="es-ES"/>
          <w14:textFill>
            <w14:solidFill>
              <w14:schemeClr w14:val="tx1"/>
            </w14:solidFill>
          </w14:textFill>
        </w:rPr>
        <w:t xml:space="preserve">- </w:t>
      </w:r>
      <w:r>
        <w:rPr>
          <w:rFonts w:ascii="Arial" w:hAnsi="Arial" w:eastAsia="Times New Roman" w:cs="Arial"/>
          <w:sz w:val="26"/>
          <w:szCs w:val="26"/>
          <w:lang w:eastAsia="es-ES"/>
        </w:rPr>
        <w:t>La fijación anual de los salarios mínimos generales o profesionales de los trabajadores del Apartado A, o la revisión de los mismos, nunca estará por debajo de la inflación observada durante el periodo de su vigencia; y,</w:t>
      </w:r>
    </w:p>
    <w:p w14:paraId="3D120A97">
      <w:pPr>
        <w:spacing w:after="0" w:line="240" w:lineRule="auto"/>
        <w:jc w:val="both"/>
        <w:rPr>
          <w:rFonts w:ascii="Arial" w:hAnsi="Arial" w:eastAsia="Times New Roman" w:cs="Arial"/>
          <w:sz w:val="26"/>
          <w:szCs w:val="26"/>
          <w:lang w:eastAsia="es-ES"/>
        </w:rPr>
      </w:pPr>
    </w:p>
    <w:p w14:paraId="5F428EDB">
      <w:pPr>
        <w:spacing w:after="0" w:line="240" w:lineRule="auto"/>
        <w:jc w:val="both"/>
        <w:rPr>
          <w:rFonts w:ascii="Arial" w:hAnsi="Arial" w:eastAsia="Times New Roman" w:cs="Arial"/>
          <w:bCs/>
          <w:sz w:val="26"/>
          <w:szCs w:val="26"/>
          <w:lang w:eastAsia="es-ES"/>
        </w:rPr>
      </w:pPr>
      <w:r>
        <w:rPr>
          <w:rFonts w:ascii="Arial" w:hAnsi="Arial" w:eastAsia="Times New Roman" w:cs="Arial"/>
          <w:sz w:val="26"/>
          <w:szCs w:val="26"/>
          <w:lang w:eastAsia="es-ES"/>
        </w:rPr>
        <w:t xml:space="preserve">- </w:t>
      </w:r>
      <w:r>
        <w:rPr>
          <w:rFonts w:ascii="Arial" w:hAnsi="Arial" w:eastAsia="Times New Roman" w:cs="Arial"/>
          <w:bCs/>
          <w:sz w:val="26"/>
          <w:szCs w:val="26"/>
          <w:lang w:eastAsia="es-ES"/>
        </w:rPr>
        <w:t>Las maestras y los maestros de nivel básico de tiempo completo, policías, guardias nacionales, integrantes de la Fuerza Armada permanente, así como médicos y enfermeros, percibirán un salario mensual que no será inferior al salario promedio registrado ante el Instituto Mexicano del Seguro Social.</w:t>
      </w:r>
    </w:p>
    <w:p w14:paraId="4D07228A">
      <w:pPr>
        <w:spacing w:after="0" w:line="240" w:lineRule="auto"/>
        <w:jc w:val="both"/>
        <w:rPr>
          <w:rFonts w:ascii="Arial" w:hAnsi="Arial" w:eastAsia="Times New Roman" w:cs="Arial"/>
          <w:bCs/>
          <w:sz w:val="26"/>
          <w:szCs w:val="26"/>
          <w:lang w:eastAsia="es-ES"/>
        </w:rPr>
      </w:pPr>
    </w:p>
    <w:p w14:paraId="34F5CB5D">
      <w:pPr>
        <w:spacing w:after="0" w:line="240" w:lineRule="auto"/>
        <w:jc w:val="both"/>
        <w:rPr>
          <w:rFonts w:ascii="Arial" w:hAnsi="Arial" w:eastAsia="Times New Roman" w:cs="Arial"/>
          <w:bCs/>
          <w:sz w:val="26"/>
          <w:szCs w:val="26"/>
          <w:lang w:eastAsia="es-ES"/>
        </w:rPr>
      </w:pPr>
      <w:r>
        <w:rPr>
          <w:rFonts w:ascii="Arial" w:hAnsi="Arial" w:eastAsia="Times New Roman" w:cs="Arial"/>
          <w:bCs/>
          <w:sz w:val="26"/>
          <w:szCs w:val="26"/>
          <w:lang w:eastAsia="es-ES"/>
        </w:rPr>
        <w:t>Los motivos en los que se apoya el Titular del Poder Ejecutivo Federal para proponer la modificación constitucional se encuentran resumidos en el apartado correspondiente de este dictamen y en la iniciativa entera a la cual se remitió por media de la liga que permite su consulta a texto completo en la Gaceta Parlamentaria de la Cámara de Diputados en que se publicó.</w:t>
      </w:r>
    </w:p>
    <w:p w14:paraId="49BC0101">
      <w:pPr>
        <w:spacing w:after="0" w:line="240" w:lineRule="auto"/>
        <w:jc w:val="both"/>
        <w:rPr>
          <w:rFonts w:ascii="Arial" w:hAnsi="Arial" w:eastAsia="Times New Roman" w:cs="Arial"/>
          <w:bCs/>
          <w:sz w:val="26"/>
          <w:szCs w:val="26"/>
          <w:lang w:eastAsia="es-ES"/>
        </w:rPr>
      </w:pPr>
    </w:p>
    <w:p w14:paraId="182C2FA6">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El problema que corresponde sopesar a esta Comisión es si las propuestas de las disposiciones constitucionales que se contienen en el proyecto de Decreto reseñado, son procedentes y justificadas, con el fin de sentar las bases para el cálculo y pago de un salario justo para los trabajadores que señala.</w:t>
      </w:r>
    </w:p>
    <w:p w14:paraId="5755F32C">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12B59D80">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Las y los Diputados que forman parte de esta Comisión se encuentran conformes con las razones que expone el Titular del Poder Ejecutivo Federal que se dan por insertas a la letra en este apartado y con la propuesta general de modificación constitucional, también por los argumentos que en lo que sigue se exponen.</w:t>
      </w:r>
    </w:p>
    <w:p w14:paraId="5456D1DD">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2C3CFC6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En términos generales, el salario constituye una prestación en dinero o especie que recibe el trabajador por laborar o poner su fuerza de trabajo a disposición del patrón y que se puede clasificar como salario nominal (sin tomar en cuenta el poder adquisitivo) o real (cuando toma en cuenta su poder adquisitivo).</w:t>
      </w:r>
    </w:p>
    <w:p w14:paraId="304BF6B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18BB3D7E">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La distinción es importante, porque el salario nominal puede ser formalmente lícito y, por vía de consecuencia, formalmente justo, aunque no satisfaga las necesidades mínimas de la persona trabajadora y su familia, con lo cual el salario, pese a ser lícito, puede ser materialmente injusto.</w:t>
      </w:r>
    </w:p>
    <w:p w14:paraId="5DD4706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0B5BE6E6">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El salario, como otros conceptos laborales, tiene un carácter esencial y refleja en sí mismo, en su noción y cuantificación, las contradicciones propias de una formación económica social.  </w:t>
      </w:r>
    </w:p>
    <w:p w14:paraId="1ED96ED3">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3B9E834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En formaciones económico sociales de impronta neoliberal e individualista, el trabajo es una mercancía cuyo precio se expresa en el salario cuyo monto se determina a partir de la ley de la oferta y la demanda, de modo que, a mayor oferta de trabajo (por los trabajadores) y menor demanda de fuerza de trabajo (por los patrones), el salario baja, en términos reales y, eventualmente nominales.</w:t>
      </w:r>
    </w:p>
    <w:p w14:paraId="53151BEF">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1891E74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En esas formaciones económico sociales, la línea de tendencia es que existan salarios bajos con escaso poder adquisitivo, y mínima intervención del Estado para la defensa de los intereses y del salario del trabajador.</w:t>
      </w:r>
    </w:p>
    <w:p w14:paraId="163B2A9C">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6F082A36">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Incluso, es visible que, en varios casos, el Estado que debiera ser un protagonista independiente –no único- en la fijación de los salarios, se ve capturado por los intereses patronales orientados a la contención del incremento salarial, para obtener –estos patrones- mayores ganancias comerciales y patrimoniales, en demérito de la persona trabajadora y sus familias.</w:t>
      </w:r>
    </w:p>
    <w:p w14:paraId="55826C8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44AED5A1">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Por el contrario, en las formaciones económico sociales de huella solidaria, el trabajo se valora como un derecho, una libertad y el salario se aprecia como una garantía-obligación entre el trabajador y el patrón conforme a la dignidad de las personas en general y del operario en lo particular.</w:t>
      </w:r>
    </w:p>
    <w:p w14:paraId="2B1BF0DC">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7E8D424E">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En dichas formaciones económicas sociales, aunque las leyes de la oferta y la demanda no dejan de influir en la economía para tasar el salario, su cuantificación no se deja al libre desarrollo de esas fuerzas, pues el Estado interviene como árbitro que garantiza el derecho de los trabajadores, sin anular a la parte patronal, mediante la figura de salarios mínimos que se procuran tasar de manera justa o, al menos, más equilibrada.</w:t>
      </w:r>
    </w:p>
    <w:p w14:paraId="3384AAB2">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60F749AB">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Estas ideas, como otras en general, son las que muy probablemente se tuvieron en cuenta al aprobarse en su origen la Constitución que hoy nos rige, pues se estableció que el salario debía tasarse en un mínimo suficiente que permitiera al trabajador atender sus necesidades personales y familiares, ser íntegro, igualitario -a trabajo igual, salario igual- y pagarse en efectivo.</w:t>
      </w:r>
    </w:p>
    <w:p w14:paraId="2846EC6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77CDD24D">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De hecho, con un fin protector del salario, la segunda reforma que se realiza al Artículo 123 de la Constitución Nacional, data del 4 de noviembre de 1933, que determinó que las Juntas Centrales de Conciliación y Arbitraje de cada Estado -en aquel entonces vigentes- finalmente fijarían los salarios mínimos.</w:t>
      </w:r>
    </w:p>
    <w:p w14:paraId="627347F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E0308C6">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Posteriormente, el 27 de noviembre de 1961, se prescribió que los salarios presupuestados no podrían ser inferiores a los correspondientes a los trabajadores, en general, del Distrito Federal y en las entidades de la República, además de que no podrían ser disminuidos durante la vigencia de los presupuestos.</w:t>
      </w:r>
    </w:p>
    <w:p w14:paraId="5401C0B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3EF0A20D">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Luego, el 21 de noviembre de 1962, se distingue entre salario mínimo general, del campo y profesional, que deberían ser suficientes para atender las necesidades de los trabajadores como jefes de familia y proveer a la educación obligatoria de los hijos; y atribuyó a las Comisiones Regionales, ya de carácter tripartita, la fijación de tasas de salarios.</w:t>
      </w:r>
    </w:p>
    <w:p w14:paraId="5674B7ED">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71CC3F5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El 23 de diciembre de 1986, se publica el Decreto que atribuye a la Comisión Nacional de los Salarios Mínimos, integrada por representantes del gobierno, trabajadores y patrones, la fijación de los salarios.</w:t>
      </w:r>
    </w:p>
    <w:p w14:paraId="65883757">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3CFFB4C7">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En el constitucionalismo de América y Europa, las concepciones de salario son diversas:</w:t>
      </w:r>
    </w:p>
    <w:p w14:paraId="78A5C4B4">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68FA646">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Argentina, habla del salario mínimo vital móvil, como un piso mínimo y criterio para el cálculo de prestaciones de seguridad social y apoyos sociales (Artículo 14Bis).</w:t>
      </w:r>
    </w:p>
    <w:p w14:paraId="0DF20FB7">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Bolivia, define que debe ser justo, equitativo y satisfactorio (Artículo 46 fracción I numeral 1) que puede ser mínimo general, sectorial (Artículo 49 fracción II), y para docentes (Artículo 96 fracción III). </w:t>
      </w:r>
    </w:p>
    <w:p w14:paraId="64766DB4">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Brasil, comprende un salario mínimo, exento de discriminación, proporcional a la extensión y complejidad del trabajo, y familiar en atención al número de dependientes del trabajador de bajos ingresos (Artículo 7); un salario para discapacitados (Artículo 203 fracción V); un salario base profesional nacional para los profesionales de la educación escolar pública (Artículo 207 fracción VIII); pensión mensual vitalicia equivalente a dos salarios mínimos.</w:t>
      </w:r>
    </w:p>
    <w:p w14:paraId="0CAE9D11">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Colombia, salario mínimo digno de fijación periódica (Artículo 57)</w:t>
      </w:r>
    </w:p>
    <w:p w14:paraId="1D0FC87F">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Ecuador, salario justo, digno revisable y tasable cada año por el gobierno, con sentido progresivo (Artículos vigésimo quinto transitorio),</w:t>
      </w:r>
    </w:p>
    <w:p w14:paraId="3CA995CF">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El Salvador, salario mínimo (Artículo 38 numeral 2)</w:t>
      </w:r>
    </w:p>
    <w:p w14:paraId="05F428E5">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Guatemala, salario igual revisable y tasado de manera periódica (Artículo 102, d. y f.) y constituye un criterio de referencia para el cálculo de prestaciones de seguridad social y responsabilidad laboral.</w:t>
      </w:r>
    </w:p>
    <w:p w14:paraId="3091C1FA">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Haití, un salario básico justo, para el educador (Artículo 32-10), salario justo en general (Artículo 35-1) y sin discriminación (Artículo 35-2).</w:t>
      </w:r>
    </w:p>
    <w:p w14:paraId="269519C5">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Honduras, salario igual por trabajo igual, mínimo revisable y fijado periódicamente por entidad tripartita compuesta por gobierno, trabajadores y patrones, general y profesional (128 numeral 3 y 5).</w:t>
      </w:r>
    </w:p>
    <w:p w14:paraId="20FFBA10">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Jamaica, salario expreso para la Comisión del Servicio de Policía (Artículo 130 7.)</w:t>
      </w:r>
    </w:p>
    <w:p w14:paraId="4D88F3B2">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Nicaragua, salario mínimo, igual para salario igual y sin discriminación (Artículo 82)</w:t>
      </w:r>
    </w:p>
    <w:p w14:paraId="5A16BCFF">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Panamá, salario mínimo y revisable periódicamente (Artículo 65).</w:t>
      </w:r>
    </w:p>
    <w:p w14:paraId="2787F648">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Paraguay, salario mínimo vital (Artículo 92).</w:t>
      </w:r>
    </w:p>
    <w:p w14:paraId="6A5FA5BB">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República Dominicana, salario mínimo, justo y suficiente (Artículo 62).</w:t>
      </w:r>
    </w:p>
    <w:p w14:paraId="12729F45">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Venezuela, salario mínimo, digno, suficiente y vital (Artículo 91)</w:t>
      </w:r>
    </w:p>
    <w:p w14:paraId="1DE11902">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Bulgaria, salario mínimo garantizado (Artículo 48 numeral 5)</w:t>
      </w:r>
    </w:p>
    <w:p w14:paraId="3288090A">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Letonia, salario mínimo establecido por el Estado (Artículo 107).</w:t>
      </w:r>
    </w:p>
    <w:p w14:paraId="37844772">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Polonia, salario mínimo (Artículo 64 -4)</w:t>
      </w:r>
    </w:p>
    <w:p w14:paraId="2EA16EFE">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Portugal, a trabajo igual, salario igual (Artículo 59. 1 a.) salario mínimo y máximo (Artículo 59. 2 a.).</w:t>
      </w:r>
    </w:p>
    <w:p w14:paraId="46E8F8D2">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Eslovaquia salario mínimo digno (Artículo 37 numeral 1 a)</w:t>
      </w:r>
    </w:p>
    <w:p w14:paraId="3A0248C2">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Rumanía, salario mínimo acorde al nivel de la economía (Artículo 41 -2-)</w:t>
      </w:r>
    </w:p>
    <w:p w14:paraId="0FF926F7">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Rusia, salario mínimo garantizado (Artículo 7 numeral 2) no inferior a la tasa de subsistencia de la población en edad de trabajar (Artículo 74 numeral 5)</w:t>
      </w:r>
    </w:p>
    <w:p w14:paraId="2F39E05B">
      <w:pPr>
        <w:pStyle w:val="10"/>
        <w:numPr>
          <w:ilvl w:val="0"/>
          <w:numId w:val="4"/>
        </w:numPr>
        <w:spacing w:after="0" w:line="240" w:lineRule="auto"/>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Turquía, salario justo, suficiente y acorde a las condiciones económicas del país (Artículo 55)</w:t>
      </w:r>
    </w:p>
    <w:p w14:paraId="48F93E94">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4EE0508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Ahora bien, pese a la variedad de concepciones de los salarios, se puede observar que de forma general se prescribe que los salarios tienen como exigencia que sean suficientes para que la persona trabajadora pueda vivir como persona y atender a las necesidades familiares, su vinculación a los demás derechos, su carácter progresivo, su vínculo a las condiciones económicas de cada país, y la regulación específica a favor de personas trabajadores del sector educativo y, eventualmente, del sector policial.</w:t>
      </w:r>
    </w:p>
    <w:p w14:paraId="5B4D671A">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0B6BC2E2">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Otro aspecto a tener en cuenta es su carácter mínimo, aunque en el caso de Portugal, incluso, se habla de un salario máximo; y finalmente, que el salario mínimo constituye un criterio de referencia para el cálculo de prestaciones de seguridad social, apoyos sociales, pago de condenas laborales y cálculo de pensiones y jubilaciones, entre otros.</w:t>
      </w:r>
    </w:p>
    <w:p w14:paraId="1E8F8017">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68506CD3">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Esto, en general, es convergente con la propuesta que hace el Presidente de la República.</w:t>
      </w:r>
    </w:p>
    <w:p w14:paraId="6334A1B2">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33F781C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Los tratados internacionales también constituyen un buen referente en el piso de este dictamen; así, es importante mencionar el </w:t>
      </w:r>
      <w:r>
        <w:rPr>
          <w:rFonts w:ascii="Arial" w:hAnsi="Arial" w:eastAsia="MS Mincho" w:cs="Arial"/>
          <w:bCs/>
          <w:i/>
          <w:color w:val="000000" w:themeColor="text1"/>
          <w:sz w:val="26"/>
          <w:szCs w:val="26"/>
          <w:lang w:eastAsia="es-ES"/>
          <w14:textFill>
            <w14:solidFill>
              <w14:schemeClr w14:val="tx1"/>
            </w14:solidFill>
          </w14:textFill>
        </w:rPr>
        <w:t>Convenio sobre la protección del salario</w:t>
      </w:r>
      <w:r>
        <w:rPr>
          <w:rFonts w:ascii="Arial" w:hAnsi="Arial" w:eastAsia="MS Mincho" w:cs="Arial"/>
          <w:bCs/>
          <w:color w:val="000000" w:themeColor="text1"/>
          <w:sz w:val="26"/>
          <w:szCs w:val="26"/>
          <w:lang w:eastAsia="es-ES"/>
          <w14:textFill>
            <w14:solidFill>
              <w14:schemeClr w14:val="tx1"/>
            </w14:solidFill>
          </w14:textFill>
        </w:rPr>
        <w:t xml:space="preserve">, que sienta los principios generales para su establecimiento, no restricción, pago, y destino justo; así como los convenios relativos a la estipulación y empleo de métodos justos para su cuantificación: </w:t>
      </w:r>
      <w:r>
        <w:rPr>
          <w:rFonts w:ascii="Arial" w:hAnsi="Arial" w:eastAsia="MS Mincho" w:cs="Arial"/>
          <w:bCs/>
          <w:i/>
          <w:color w:val="000000" w:themeColor="text1"/>
          <w:sz w:val="26"/>
          <w:szCs w:val="26"/>
          <w:lang w:eastAsia="es-ES"/>
          <w14:textFill>
            <w14:solidFill>
              <w14:schemeClr w14:val="tx1"/>
            </w14:solidFill>
          </w14:textFill>
        </w:rPr>
        <w:t>Convenio internacional del trabajo No. 26 relativo al establecimiento de métodos para la fijación de salarios mínimos, Convenio sobre los métodos para la fijación de salarios mínimos –agricultura</w:t>
      </w:r>
      <w:r>
        <w:rPr>
          <w:rFonts w:ascii="Arial" w:hAnsi="Arial" w:eastAsia="MS Mincho" w:cs="Arial"/>
          <w:bCs/>
          <w:color w:val="000000" w:themeColor="text1"/>
          <w:sz w:val="26"/>
          <w:szCs w:val="26"/>
          <w:lang w:eastAsia="es-ES"/>
          <w14:textFill>
            <w14:solidFill>
              <w14:schemeClr w14:val="tx1"/>
            </w14:solidFill>
          </w14:textFill>
        </w:rPr>
        <w:t xml:space="preserve">- y el </w:t>
      </w:r>
      <w:r>
        <w:rPr>
          <w:rFonts w:ascii="Arial" w:hAnsi="Arial" w:eastAsia="MS Mincho" w:cs="Arial"/>
          <w:bCs/>
          <w:i/>
          <w:color w:val="000000" w:themeColor="text1"/>
          <w:sz w:val="26"/>
          <w:szCs w:val="26"/>
          <w:lang w:eastAsia="es-ES"/>
          <w14:textFill>
            <w14:solidFill>
              <w14:schemeClr w14:val="tx1"/>
            </w14:solidFill>
          </w14:textFill>
        </w:rPr>
        <w:t>Convenio relativo a la fijación de salarios mínimos, con especial referencia a los países en vías de desarrollo</w:t>
      </w:r>
      <w:r>
        <w:rPr>
          <w:rFonts w:ascii="Arial" w:hAnsi="Arial" w:eastAsia="MS Mincho" w:cs="Arial"/>
          <w:bCs/>
          <w:color w:val="000000" w:themeColor="text1"/>
          <w:sz w:val="26"/>
          <w:szCs w:val="26"/>
          <w:lang w:eastAsia="es-ES"/>
          <w14:textFill>
            <w14:solidFill>
              <w14:schemeClr w14:val="tx1"/>
            </w14:solidFill>
          </w14:textFill>
        </w:rPr>
        <w:t xml:space="preserve">; y el </w:t>
      </w:r>
      <w:r>
        <w:rPr>
          <w:rFonts w:ascii="Arial" w:hAnsi="Arial" w:eastAsia="MS Mincho" w:cs="Arial"/>
          <w:bCs/>
          <w:i/>
          <w:color w:val="000000" w:themeColor="text1"/>
          <w:sz w:val="26"/>
          <w:szCs w:val="26"/>
          <w:lang w:eastAsia="es-ES"/>
          <w14:textFill>
            <w14:solidFill>
              <w14:schemeClr w14:val="tx1"/>
            </w14:solidFill>
          </w14:textFill>
        </w:rPr>
        <w:t>Pacto internacional de derechos económicos, sociales y culturales</w:t>
      </w:r>
      <w:r>
        <w:rPr>
          <w:rFonts w:ascii="Arial" w:hAnsi="Arial" w:eastAsia="MS Mincho" w:cs="Arial"/>
          <w:bCs/>
          <w:color w:val="000000" w:themeColor="text1"/>
          <w:sz w:val="26"/>
          <w:szCs w:val="26"/>
          <w:lang w:eastAsia="es-ES"/>
          <w14:textFill>
            <w14:solidFill>
              <w14:schemeClr w14:val="tx1"/>
            </w14:solidFill>
          </w14:textFill>
        </w:rPr>
        <w:t>, que en su artículo 7 prevé la obligación de los Estados suscribientes, entre ellos México, de fijar salarios mínimos, equitativos, suficientes y sin discriminación.</w:t>
      </w:r>
    </w:p>
    <w:p w14:paraId="5449D18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072D801F">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La jurisprudencia de la Corte Interamericana de Derechos Humanos igualmente sirve de apoyo a este dictamen, pues en diversos casos </w:t>
      </w:r>
      <w:r>
        <w:rPr>
          <w:rFonts w:ascii="Arial" w:hAnsi="Arial" w:eastAsia="MS Mincho" w:cs="Arial"/>
          <w:bCs/>
          <w:i/>
          <w:iCs/>
          <w:color w:val="000000" w:themeColor="text1"/>
          <w:sz w:val="26"/>
          <w:szCs w:val="26"/>
          <w:lang w:eastAsia="es-ES"/>
          <w14:textFill>
            <w14:solidFill>
              <w14:schemeClr w14:val="tx1"/>
            </w14:solidFill>
          </w14:textFill>
        </w:rPr>
        <w:t xml:space="preserve">Neira Alegría vs. Peru, Velásquez Rodríguez (Indemnización Compensatoria) y Caso Godínez Cruz (Indemnización Compensatoria) </w:t>
      </w:r>
      <w:r>
        <w:rPr>
          <w:rFonts w:ascii="Arial" w:hAnsi="Arial" w:eastAsia="MS Mincho" w:cs="Arial"/>
          <w:bCs/>
          <w:color w:val="000000" w:themeColor="text1"/>
          <w:sz w:val="26"/>
          <w:szCs w:val="26"/>
          <w:lang w:eastAsia="es-ES"/>
          <w14:textFill>
            <w14:solidFill>
              <w14:schemeClr w14:val="tx1"/>
            </w14:solidFill>
          </w14:textFill>
        </w:rPr>
        <w:t>la Corte ha sostenido que el salario debe ser real y calcularse como un mínimo vital conforme a las personas y el contexto social y económico en el que viven.</w:t>
      </w:r>
    </w:p>
    <w:p w14:paraId="4EB06286">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1304FD23">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El Poder Judicial de la Federación también ha abordado el tema en las controversias de su competencia y ha sentado una cauda de tesis que apuntan a la protección del derecho al salario, desde su previsión, a su tasa y realización, así como su vínculo con otros derechos.</w:t>
      </w:r>
    </w:p>
    <w:p w14:paraId="315E351C">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1C4F46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De manera específica, sirve de una muestra relevante la tesis siguiente que habla sobre el salario como un mínimo vital, sus razones y líneas generales de cálculo:</w:t>
      </w:r>
    </w:p>
    <w:p w14:paraId="6D8F72B1">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41F848CE">
      <w:pPr>
        <w:pStyle w:val="10"/>
        <w:spacing w:after="0" w:line="240" w:lineRule="auto"/>
        <w:ind w:left="0"/>
        <w:jc w:val="both"/>
        <w:rPr>
          <w:rFonts w:ascii="Arial" w:hAnsi="Arial" w:eastAsia="MS Mincho"/>
          <w:bCs/>
          <w:color w:val="000000" w:themeColor="text1"/>
          <w:sz w:val="26"/>
          <w:szCs w:val="26"/>
          <w:lang w:eastAsia="es-ES"/>
          <w14:textFill>
            <w14:solidFill>
              <w14:schemeClr w14:val="tx1"/>
            </w14:solidFill>
          </w14:textFill>
        </w:rPr>
      </w:pPr>
      <w:r>
        <w:rPr>
          <w:rFonts w:ascii="Arial" w:hAnsi="Arial" w:eastAsia="MS Mincho"/>
          <w:bCs/>
          <w:color w:val="000000" w:themeColor="text1"/>
          <w:sz w:val="26"/>
          <w:szCs w:val="26"/>
          <w:lang w:eastAsia="es-ES"/>
          <w14:textFill>
            <w14:solidFill>
              <w14:schemeClr w14:val="tx1"/>
            </w14:solidFill>
          </w14:textFill>
        </w:rPr>
        <w:t>Registro digital: 2002743. Instancia: Tribunales Colegiados de Circuito. Décima Época. Materias(s): Constitucional, Común. Tesis: I.4o.A.12 K (10a.). Fuente: Semanario Judicial de la Federación y su Gaceta. Libro XVII, Febrero de 2013, Tomo 2, página 1345. Aislada</w:t>
      </w:r>
    </w:p>
    <w:p w14:paraId="65C78A79">
      <w:pPr>
        <w:pStyle w:val="10"/>
        <w:spacing w:after="0" w:line="240" w:lineRule="auto"/>
        <w:ind w:left="0"/>
        <w:jc w:val="both"/>
        <w:rPr>
          <w:rFonts w:ascii="Arial" w:hAnsi="Arial" w:eastAsia="MS Mincho"/>
          <w:bCs/>
          <w:color w:val="000000" w:themeColor="text1"/>
          <w:sz w:val="26"/>
          <w:szCs w:val="26"/>
          <w:lang w:eastAsia="es-ES"/>
          <w14:textFill>
            <w14:solidFill>
              <w14:schemeClr w14:val="tx1"/>
            </w14:solidFill>
          </w14:textFill>
        </w:rPr>
      </w:pPr>
    </w:p>
    <w:p w14:paraId="0BE29C11">
      <w:pPr>
        <w:pStyle w:val="10"/>
        <w:spacing w:after="0" w:line="240" w:lineRule="auto"/>
        <w:ind w:left="0"/>
        <w:jc w:val="both"/>
        <w:rPr>
          <w:rFonts w:ascii="Arial" w:hAnsi="Arial" w:eastAsia="MS Mincho"/>
          <w:bCs/>
          <w:color w:val="000000" w:themeColor="text1"/>
          <w:sz w:val="26"/>
          <w:szCs w:val="26"/>
          <w:lang w:eastAsia="es-ES"/>
          <w14:textFill>
            <w14:solidFill>
              <w14:schemeClr w14:val="tx1"/>
            </w14:solidFill>
          </w14:textFill>
        </w:rPr>
      </w:pPr>
      <w:r>
        <w:rPr>
          <w:rFonts w:ascii="Arial" w:hAnsi="Arial" w:eastAsia="MS Mincho"/>
          <w:b/>
          <w:i/>
          <w:iCs/>
          <w:color w:val="000000" w:themeColor="text1"/>
          <w:sz w:val="26"/>
          <w:szCs w:val="26"/>
          <w:lang w:eastAsia="es-ES"/>
          <w14:textFill>
            <w14:solidFill>
              <w14:schemeClr w14:val="tx1"/>
            </w14:solidFill>
          </w14:textFill>
        </w:rPr>
        <w:t>“DERECHO AL MÍNIMO VITAL. CONCEPTO, ALCANCES E INTERPRETACIÓN POR EL JUZGADOR.</w:t>
      </w:r>
      <w:r>
        <w:rPr>
          <w:rFonts w:ascii="Arial" w:hAnsi="Arial" w:eastAsia="MS Mincho"/>
          <w:bCs/>
          <w:i/>
          <w:iCs/>
          <w:color w:val="000000" w:themeColor="text1"/>
          <w:sz w:val="26"/>
          <w:szCs w:val="26"/>
          <w:lang w:eastAsia="es-ES"/>
          <w14:textFill>
            <w14:solidFill>
              <w14:schemeClr w14:val="tx1"/>
            </w14:solidFill>
          </w14:textFill>
        </w:rPr>
        <w:t xml:space="preserve"> En el orden constitucional mexicano, el derecho al "mínimo vital" o "mínimo existencial", el cual ha sido concebido como un derecho fundamental que se apoya en los principios del Estado social de derecho, dignidad humana, solidaridad y protección de ciertos bienes constitucionales, cobra vigencia a partir de la interpretación sistemática de los derechos fundamentales consagrados en la Constitución Política de los Estados Unidos Mexicanos, particularmente en sus artículos 1o., 3o., 4o., 13, 25, 27, 31, fracción IV, y 123; aunado al Pacto Internacional de Derechos Económicos, Sociales y Culturales, y el Protocolo Adicional a la Convención Americana sobre Derechos Humanos en Materia de Derechos Económicos, Sociales y Culturales "Protocolo de San Salvador", suscritos por México y constitutivos del bloque de constitucionalidad, y conformados por la satisfacción y protección de diversas prerrogativas que, en su conjunto o unidad, forman la base o punto de partida desde la cual el individuo cuenta con las condiciones mínimas para desarrollar un plan de vida autónomo y de participación activa en la vida democrática del Estado (educación, vivienda, salud, salario digno, seguridad social, medio ambiente, etcétera.), por lo que se erige como un presupuesto del Estado democrático de derecho, pues si se carece de este mínimo básico, las coordenadas centrales del orden constitucional carecen de sentido. Al respecto, el Comité de Derechos Económicos, Sociales y Culturales de la Organización de las Naciones Unidas, en la Observación General No. 3 de 1990, ha establecido: "la obligación mínima generalmente es determinada al observar las necesidades del grupo más vulnerable que tiene derecho a la protección del derecho en cuestión.". Así, la intersección entre la potestad estatal y el entramado de derechos y libertades fundamentales, en su connotación de interdependientes e indivisibles, fija la determinación de un mínimo de subsistencia digna y autónoma constitucionalmente protegida, que es el universal para sujetos de la misma clase y con expectativas de progresividad en lo concerniente a prestaciones. En este orden de ideas, este parámetro constituye el derecho al mínimo vital, el cual coincide con las competencias, condiciones básicas y prestaciones sociales necesarias para que la persona pueda llevar una vida libre del temor y de las cargas de la miseria o de necesidades insatisfechas que limiten sus libertades, de tal manera que este derecho abarca todas las medidas positivas o negativas necesarias para evitar que la persona se vea inconstitucionalmente reducida en su valor intrínseco como ser humano, por no contar con las condiciones materiales que le permitan llevar una existencia digna. Aunado a lo anterior, el mínimo vital es un concepto jurídico indeterminado que exige confrontar la realidad con los valores y fines de los derechos sociales, siendo necesario realizar una evaluación de las circunstancias de cada caso concreto, pues a partir de tales elementos, es que su contenido se ve definido, al ser contextualizado con los hechos del caso; por consiguiente, al igual que todos los conceptos jurídicos indeterminados, requiere ser interpretado por el juzgador, tomando en consideración los elementos necesarios para su aplicación adecuada a casos particulares, por lo que debe estimarse que el concepto no se reduce a una perspectiva cuantitativa, sino que por el contrario, es cualitativa, toda vez que su contenido va en función de las condiciones particulares de cada persona, de esta manera cada gobernado tiene un mínimo vital diferente; esto es, el análisis de este derecho implica determinar, de manera casuística, en qué medida se vulnera por carecer de recursos materiales bajo las condiciones propias del caso.”</w:t>
      </w:r>
      <w:r>
        <w:rPr>
          <w:rFonts w:ascii="Arial" w:hAnsi="Arial" w:eastAsia="MS Mincho"/>
          <w:bCs/>
          <w:color w:val="000000" w:themeColor="text1"/>
          <w:sz w:val="26"/>
          <w:szCs w:val="26"/>
          <w:lang w:eastAsia="es-ES"/>
          <w14:textFill>
            <w14:solidFill>
              <w14:schemeClr w14:val="tx1"/>
            </w14:solidFill>
          </w14:textFill>
        </w:rPr>
        <w:t xml:space="preserve"> </w:t>
      </w:r>
    </w:p>
    <w:p w14:paraId="64D5DFE3">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25E232CF">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Las y los Diputados de esta Comisión, observan que los razonamientos anteriores apoyan la propuesta del Presidente de la República, toda vez que se inclinan por la previsión, determinación y cálculo del salario en términos reales a favor del trabajador.</w:t>
      </w:r>
    </w:p>
    <w:p w14:paraId="4B053B6A">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30BFF742">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El hecho de que la iniciativa, por otra parte, proponga un salario mensual no inferior al salario promedio registrado ante el IMSS a favor de docentes, integrantes de las fuerzas de seguridad, médicos y enfermeros, es compatible con el cuadro anterior; pero, además, se debe entender soportado en el valor que socialmente se reconoce a los integrantes de esos conjuntos que garantizan la educación básica, la seguridad de la población y la salud, en el entendido de que en gran medida supera su estándar salarial actual, les reivindica y fija un piso mínimo -no máximo- de sus percepciones, también con el ánimo de fortalecer el sentido de pertenencia a sus cuerpos profesionales.</w:t>
      </w:r>
    </w:p>
    <w:p w14:paraId="57ED214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246AD83A">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Todo ello es contrastante con la realidad previa a 2019, que mostró, como bien se dice en la iniciativa una línea de tendencia a la contención del incremento real del salario -que hoy día ha aumentado significativamente en términos reales- y a la pérdida anterior de su capacidad adquisitiva, llevando, en el caso particular de los cuerpos indicados, a una situación en que l</w:t>
      </w:r>
      <w:r>
        <w:rPr>
          <w:rFonts w:ascii="Arial" w:hAnsi="Arial"/>
          <w:color w:val="000000" w:themeColor="text1"/>
          <w:sz w:val="26"/>
          <w:szCs w:val="26"/>
          <w:lang w:eastAsia="es-ES"/>
          <w14:textFill>
            <w14:solidFill>
              <w14:schemeClr w14:val="tx1"/>
            </w14:solidFill>
          </w14:textFill>
        </w:rPr>
        <w:t>as maestras y maestros perciben aproximadamente 12 mil 500 pesos al mes; los guardias y policías del Servicio de Protección Federal reciben alrededor de 6 mil 800 pesos mensuales; a que exista una porción importante de elementos de la Guardia Nacional, Ejército y Fuerza Aérea mexicanos que ganan alrededor de 16 mil pesos al mes; a que el personal de enfermería del IMSS reciba entre 5 mil 752 pesos y 9 mil 645 pesos mensuales; a que los médicos del IMSS perciban entre 9 mil 184 y 12 mil 95 pesos al mes; y a que el personal de enfermería del Instituto de Seguridad y Servicios Sociales de los Trabajadores del Estado (ISSSTE) gane alrededor de 11 mil pesos mensuales.</w:t>
      </w:r>
    </w:p>
    <w:p w14:paraId="3B49DF6A">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2E1EF157">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El derecho transitorio de la iniciativa se considera igualmente procedente, al fijar la cláusula ordinaria de la entrada en vigor del Decreto de modificaciones, así como el valor de referencia del salario promedio registrado ante el IMSS y su necesaria actualización anual.</w:t>
      </w:r>
    </w:p>
    <w:p w14:paraId="5C0D72F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B70EAC9">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Por otra parte, en torno al </w:t>
      </w:r>
      <w:r>
        <w:rPr>
          <w:rFonts w:ascii="Arial" w:hAnsi="Arial" w:eastAsia="MS Mincho" w:cs="Arial"/>
          <w:b/>
          <w:color w:val="000000" w:themeColor="text1"/>
          <w:sz w:val="26"/>
          <w:szCs w:val="26"/>
          <w:lang w:eastAsia="es-ES"/>
          <w14:textFill>
            <w14:solidFill>
              <w14:schemeClr w14:val="tx1"/>
            </w14:solidFill>
          </w14:textFill>
        </w:rPr>
        <w:t>impacto presupuestario</w:t>
      </w:r>
      <w:r>
        <w:rPr>
          <w:rFonts w:ascii="Arial" w:hAnsi="Arial" w:eastAsia="MS Mincho" w:cs="Arial"/>
          <w:bCs/>
          <w:color w:val="000000" w:themeColor="text1"/>
          <w:sz w:val="26"/>
          <w:szCs w:val="26"/>
          <w:lang w:eastAsia="es-ES"/>
          <w14:textFill>
            <w14:solidFill>
              <w14:schemeClr w14:val="tx1"/>
            </w14:solidFill>
          </w14:textFill>
        </w:rPr>
        <w:t xml:space="preserve"> de la iniciativa que se dictamina, es observable que la Secretaría de Hacienda y Crédito Público, como el Centro de Estudios de las Finanzas Públicas y la Comisión de Presupuesto y Cuenta Pública, expresan opiniones diferentes, en tanto la primera determina la ausencia, el segundo tasa, a la par, costos presupuestarios determinados y costos abiertos que no precisa, y la tercera fija el impacto presupuestario en la cantidad de 39 mil 864 millones de pesos anuales en valores de 2024.</w:t>
      </w:r>
    </w:p>
    <w:p w14:paraId="55299F4B">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5F05A34">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Las y los Diputados de esta Comisión estiman que la determinación del impacto presupuestario preciso y abierto que menciona el Centro así como la Comisión de Presupuesto y Cuenta Pública, son opinables, en tanto dichos costos no expresan la probabilidad de su realización -en el caso de los precisados- ni su monto y grado de verificación -en el caso de los abiertos- para llegar a precisar un impacto presupuestario </w:t>
      </w:r>
      <w:r>
        <w:rPr>
          <w:rFonts w:ascii="Arial" w:hAnsi="Arial" w:eastAsia="MS Mincho" w:cs="Arial"/>
          <w:bCs/>
          <w:i/>
          <w:iCs/>
          <w:color w:val="000000" w:themeColor="text1"/>
          <w:sz w:val="26"/>
          <w:szCs w:val="26"/>
          <w:lang w:eastAsia="es-ES"/>
          <w14:textFill>
            <w14:solidFill>
              <w14:schemeClr w14:val="tx1"/>
            </w14:solidFill>
          </w14:textFill>
        </w:rPr>
        <w:t xml:space="preserve">esperado; </w:t>
      </w:r>
      <w:r>
        <w:rPr>
          <w:rFonts w:ascii="Arial" w:hAnsi="Arial" w:eastAsia="MS Mincho" w:cs="Arial"/>
          <w:bCs/>
          <w:color w:val="000000" w:themeColor="text1"/>
          <w:sz w:val="26"/>
          <w:szCs w:val="26"/>
          <w:lang w:eastAsia="es-ES"/>
          <w14:textFill>
            <w14:solidFill>
              <w14:schemeClr w14:val="tx1"/>
            </w14:solidFill>
          </w14:textFill>
        </w:rPr>
        <w:t>además de que el costo determinado o indeterminado que se emplea, tanto para su obtención, como para su impacto en las finanzas públicas en su conjunto no se determinan en la opinión.</w:t>
      </w:r>
    </w:p>
    <w:p w14:paraId="7F50687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41DF675">
      <w:pPr>
        <w:pStyle w:val="10"/>
        <w:spacing w:after="0" w:line="240" w:lineRule="auto"/>
        <w:ind w:left="0"/>
        <w:jc w:val="both"/>
        <w:rPr>
          <w:rFonts w:hint="default" w:ascii="Arial" w:hAnsi="Arial" w:eastAsia="MS Mincho" w:cs="Arial"/>
          <w:bCs/>
          <w:color w:val="000000" w:themeColor="text1"/>
          <w:sz w:val="26"/>
          <w:szCs w:val="26"/>
          <w:lang w:val="es-MX"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Por esas razones y toda vez que las y los Diputados, en uso de sus atribuciones de ponderación, con una pretensión reivindicadora, de justicia y solidaridad, es que estiman procedente la iniciativa que se analiza aún en el caso de que la iniciativa tuviera el impacto presupuestario señalado por el Centro</w:t>
      </w:r>
      <w:r>
        <w:rPr>
          <w:rFonts w:hint="default" w:ascii="Arial" w:hAnsi="Arial" w:eastAsia="MS Mincho" w:cs="Arial"/>
          <w:bCs/>
          <w:color w:val="000000" w:themeColor="text1"/>
          <w:sz w:val="26"/>
          <w:szCs w:val="26"/>
          <w:lang w:val="es-MX" w:eastAsia="es-ES"/>
          <w14:textFill>
            <w14:solidFill>
              <w14:schemeClr w14:val="tx1"/>
            </w14:solidFill>
          </w14:textFill>
        </w:rPr>
        <w:t>, con breves ajustes por razón de técnica, para quedar en los términos que se enuncian en el proyecto de Decreto.</w:t>
      </w:r>
    </w:p>
    <w:p w14:paraId="38184BB5">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50572552">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Finalmente, por lo que hace a las </w:t>
      </w:r>
      <w:r>
        <w:rPr>
          <w:rFonts w:ascii="Arial" w:hAnsi="Arial" w:eastAsia="MS Mincho" w:cs="Arial"/>
          <w:b/>
          <w:color w:val="000000" w:themeColor="text1"/>
          <w:sz w:val="26"/>
          <w:szCs w:val="26"/>
          <w:lang w:eastAsia="es-ES"/>
          <w14:textFill>
            <w14:solidFill>
              <w14:schemeClr w14:val="tx1"/>
            </w14:solidFill>
          </w14:textFill>
        </w:rPr>
        <w:t>iniciativas conexas</w:t>
      </w:r>
      <w:r>
        <w:rPr>
          <w:rFonts w:ascii="Arial" w:hAnsi="Arial" w:eastAsia="MS Mincho" w:cs="Arial"/>
          <w:bCs/>
          <w:color w:val="000000" w:themeColor="text1"/>
          <w:sz w:val="26"/>
          <w:szCs w:val="26"/>
          <w:lang w:eastAsia="es-ES"/>
          <w14:textFill>
            <w14:solidFill>
              <w14:schemeClr w14:val="tx1"/>
            </w14:solidFill>
          </w14:textFill>
        </w:rPr>
        <w:t xml:space="preserve"> citadas en el apartado correspondiente, cuyo plazo a la fecha de la proposición de este dictamen ha vencido, se reflexiona que se han de entender comprendidas en el mismo con el carácter de </w:t>
      </w:r>
      <w:r>
        <w:rPr>
          <w:rFonts w:ascii="Arial" w:hAnsi="Arial" w:eastAsia="MS Mincho" w:cs="Arial"/>
          <w:bCs/>
          <w:i/>
          <w:iCs/>
          <w:color w:val="000000" w:themeColor="text1"/>
          <w:sz w:val="26"/>
          <w:szCs w:val="26"/>
          <w:lang w:eastAsia="es-ES"/>
          <w14:textFill>
            <w14:solidFill>
              <w14:schemeClr w14:val="tx1"/>
            </w14:solidFill>
          </w14:textFill>
        </w:rPr>
        <w:t>antecedentes</w:t>
      </w:r>
      <w:r>
        <w:rPr>
          <w:rFonts w:ascii="Arial" w:hAnsi="Arial" w:eastAsia="MS Mincho" w:cs="Arial"/>
          <w:bCs/>
          <w:color w:val="000000" w:themeColor="text1"/>
          <w:sz w:val="26"/>
          <w:szCs w:val="26"/>
          <w:lang w:eastAsia="es-ES"/>
          <w14:textFill>
            <w14:solidFill>
              <w14:schemeClr w14:val="tx1"/>
            </w14:solidFill>
          </w14:textFill>
        </w:rPr>
        <w:t xml:space="preserve">, al tener como objeto, entre otros, la protección del salario; y que las iniciativas restantes se han de interpretar como dictaminadas en sentido positivo, en tanto coinciden con el propósito </w:t>
      </w:r>
      <w:r>
        <w:rPr>
          <w:rFonts w:hint="default" w:ascii="Arial" w:hAnsi="Arial" w:eastAsia="MS Mincho" w:cs="Arial"/>
          <w:bCs/>
          <w:color w:val="000000" w:themeColor="text1"/>
          <w:sz w:val="26"/>
          <w:szCs w:val="26"/>
          <w:lang w:val="es-MX" w:eastAsia="es-ES"/>
          <w14:textFill>
            <w14:solidFill>
              <w14:schemeClr w14:val="tx1"/>
            </w14:solidFill>
          </w14:textFill>
        </w:rPr>
        <w:t>general</w:t>
      </w:r>
      <w:r>
        <w:rPr>
          <w:rFonts w:ascii="Arial" w:hAnsi="Arial" w:eastAsia="MS Mincho" w:cs="Arial"/>
          <w:bCs/>
          <w:color w:val="000000" w:themeColor="text1"/>
          <w:sz w:val="26"/>
          <w:szCs w:val="26"/>
          <w:lang w:eastAsia="es-ES"/>
          <w14:textFill>
            <w14:solidFill>
              <w14:schemeClr w14:val="tx1"/>
            </w14:solidFill>
          </w14:textFill>
        </w:rPr>
        <w:t xml:space="preserve"> de establecer un salario real conforme al contexto socio-económico del país a favor de las personas trabajadoras, aunque en </w:t>
      </w:r>
      <w:r>
        <w:rPr>
          <w:rFonts w:hint="default" w:ascii="Arial" w:hAnsi="Arial" w:eastAsia="MS Mincho" w:cs="Arial"/>
          <w:bCs/>
          <w:color w:val="000000" w:themeColor="text1"/>
          <w:sz w:val="26"/>
          <w:szCs w:val="26"/>
          <w:lang w:val="es-MX" w:eastAsia="es-ES"/>
          <w14:textFill>
            <w14:solidFill>
              <w14:schemeClr w14:val="tx1"/>
            </w14:solidFill>
          </w14:textFill>
        </w:rPr>
        <w:t>lo particular difieren en parte</w:t>
      </w:r>
      <w:r>
        <w:rPr>
          <w:rFonts w:ascii="Arial" w:hAnsi="Arial" w:eastAsia="MS Mincho" w:cs="Arial"/>
          <w:bCs/>
          <w:color w:val="000000" w:themeColor="text1"/>
          <w:sz w:val="26"/>
          <w:szCs w:val="26"/>
          <w:lang w:eastAsia="es-ES"/>
          <w14:textFill>
            <w14:solidFill>
              <w14:schemeClr w14:val="tx1"/>
            </w14:solidFill>
          </w14:textFill>
        </w:rPr>
        <w:t>, y en otros se apeguen a la propuesta del Presidente de la República.</w:t>
      </w:r>
    </w:p>
    <w:p w14:paraId="3223E0AD">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3FB7AA78">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En esa virtud, las y los Diputados de la Comisión apruebas la iniciativa que se considera en los términos del proyecto de Decreto enunciado más adelante.    </w:t>
      </w:r>
    </w:p>
    <w:p w14:paraId="230FC444">
      <w:pPr>
        <w:pStyle w:val="10"/>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0B8F3E44">
      <w:pPr>
        <w:spacing w:after="0" w:line="240" w:lineRule="auto"/>
        <w:jc w:val="center"/>
        <w:rPr>
          <w:rFonts w:ascii="Arial" w:hAnsi="Arial" w:eastAsia="MS Mincho" w:cs="Arial"/>
          <w:b/>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E. RESULTADO DEL DICTAMEN</w:t>
      </w:r>
    </w:p>
    <w:p w14:paraId="502FE89B">
      <w:pPr>
        <w:spacing w:after="0" w:line="240" w:lineRule="auto"/>
        <w:jc w:val="both"/>
        <w:rPr>
          <w:rFonts w:ascii="Arial" w:hAnsi="Arial" w:eastAsia="MS Mincho" w:cs="Arial"/>
          <w:snapToGrid w:val="0"/>
          <w:color w:val="000000" w:themeColor="text1"/>
          <w:sz w:val="26"/>
          <w:szCs w:val="26"/>
          <w:lang w:eastAsia="es-ES"/>
          <w14:textFill>
            <w14:solidFill>
              <w14:schemeClr w14:val="tx1"/>
            </w14:solidFill>
          </w14:textFill>
        </w:rPr>
      </w:pPr>
    </w:p>
    <w:p w14:paraId="1E238CFF">
      <w:pPr>
        <w:spacing w:after="0" w:line="240" w:lineRule="auto"/>
        <w:jc w:val="both"/>
        <w:rPr>
          <w:rFonts w:ascii="Arial" w:hAnsi="Arial" w:cs="Arial"/>
          <w:color w:val="000000" w:themeColor="text1"/>
          <w:sz w:val="26"/>
          <w:szCs w:val="26"/>
          <w:shd w:val="clear" w:color="auto" w:fill="FFFFFF"/>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 xml:space="preserve">En virtud de lo anteriormente expuesto se dictamina en sentido </w:t>
      </w:r>
      <w:r>
        <w:rPr>
          <w:rFonts w:ascii="Arial" w:hAnsi="Arial" w:eastAsia="MS Mincho" w:cs="Arial"/>
          <w:b/>
          <w:bCs/>
          <w:snapToGrid w:val="0"/>
          <w:color w:val="000000" w:themeColor="text1"/>
          <w:sz w:val="26"/>
          <w:szCs w:val="26"/>
          <w:lang w:eastAsia="es-ES"/>
          <w14:textFill>
            <w14:solidFill>
              <w14:schemeClr w14:val="tx1"/>
            </w14:solidFill>
          </w14:textFill>
        </w:rPr>
        <w:t>positivo</w:t>
      </w:r>
      <w:r>
        <w:rPr>
          <w:rFonts w:hint="default" w:ascii="Arial" w:hAnsi="Arial" w:eastAsia="MS Mincho" w:cs="Arial"/>
          <w:b/>
          <w:bCs/>
          <w:snapToGrid w:val="0"/>
          <w:color w:val="000000" w:themeColor="text1"/>
          <w:sz w:val="26"/>
          <w:szCs w:val="26"/>
          <w:lang w:val="es-MX" w:eastAsia="es-ES"/>
          <w14:textFill>
            <w14:solidFill>
              <w14:schemeClr w14:val="tx1"/>
            </w14:solidFill>
          </w14:textFill>
        </w:rPr>
        <w:t xml:space="preserve"> con modificaciones</w:t>
      </w:r>
      <w:r>
        <w:rPr>
          <w:rFonts w:ascii="Arial" w:hAnsi="Arial" w:eastAsia="MS Mincho" w:cs="Arial"/>
          <w:b/>
          <w:bCs/>
          <w:snapToGrid w:val="0"/>
          <w:color w:val="000000" w:themeColor="text1"/>
          <w:sz w:val="26"/>
          <w:szCs w:val="26"/>
          <w:lang w:eastAsia="es-ES"/>
          <w14:textFill>
            <w14:solidFill>
              <w14:schemeClr w14:val="tx1"/>
            </w14:solidFill>
          </w14:textFill>
        </w:rPr>
        <w:t xml:space="preserve"> </w:t>
      </w:r>
      <w:r>
        <w:rPr>
          <w:rFonts w:ascii="Arial" w:hAnsi="Arial" w:eastAsia="MS Mincho" w:cs="Arial"/>
          <w:snapToGrid w:val="0"/>
          <w:color w:val="000000" w:themeColor="text1"/>
          <w:sz w:val="26"/>
          <w:szCs w:val="26"/>
          <w:lang w:eastAsia="es-ES"/>
          <w14:textFill>
            <w14:solidFill>
              <w14:schemeClr w14:val="tx1"/>
            </w14:solidFill>
          </w14:textFill>
        </w:rPr>
        <w:t xml:space="preserve">la iniciativa con proyecto de Decreto mediante el cual </w:t>
      </w:r>
      <w:r>
        <w:rPr>
          <w:rFonts w:ascii="Arial" w:hAnsi="Arial" w:eastAsia="MS Mincho" w:cs="Arial"/>
          <w:color w:val="000000" w:themeColor="text1"/>
          <w:sz w:val="26"/>
          <w:szCs w:val="26"/>
          <w:lang w:eastAsia="es-ES"/>
          <w14:textFill>
            <w14:solidFill>
              <w14:schemeClr w14:val="tx1"/>
            </w14:solidFill>
          </w14:textFill>
        </w:rPr>
        <w:t>modifica el Artículo 123 de la Constitución Política de los Estados Unidos Mexicanos, en materia de salarios</w:t>
      </w:r>
      <w:r>
        <w:rPr>
          <w:rFonts w:ascii="Arial" w:hAnsi="Arial" w:eastAsia="MS Mincho" w:cs="Arial"/>
          <w:snapToGrid w:val="0"/>
          <w:color w:val="000000" w:themeColor="text1"/>
          <w:sz w:val="26"/>
          <w:szCs w:val="26"/>
          <w:lang w:eastAsia="es-ES"/>
          <w14:textFill>
            <w14:solidFill>
              <w14:schemeClr w14:val="tx1"/>
            </w14:solidFill>
          </w14:textFill>
        </w:rPr>
        <w:t>.</w:t>
      </w:r>
    </w:p>
    <w:p w14:paraId="4D4C3526">
      <w:pPr>
        <w:spacing w:after="0" w:line="240" w:lineRule="auto"/>
        <w:jc w:val="both"/>
        <w:rPr>
          <w:rFonts w:ascii="Arial" w:hAnsi="Arial" w:eastAsia="Calibri" w:cs="Arial"/>
          <w:color w:val="000000" w:themeColor="text1"/>
          <w:sz w:val="26"/>
          <w:szCs w:val="26"/>
          <w14:textFill>
            <w14:solidFill>
              <w14:schemeClr w14:val="tx1"/>
            </w14:solidFill>
          </w14:textFill>
        </w:rPr>
      </w:pPr>
    </w:p>
    <w:p w14:paraId="5364C85E">
      <w:pPr>
        <w:tabs>
          <w:tab w:val="left" w:pos="284"/>
        </w:tabs>
        <w:spacing w:after="0" w:line="240" w:lineRule="auto"/>
        <w:jc w:val="center"/>
        <w:rPr>
          <w:rFonts w:ascii="Arial" w:hAnsi="Arial" w:eastAsia="Calibri" w:cs="Arial"/>
          <w:b/>
          <w:bCs/>
          <w:color w:val="000000" w:themeColor="text1"/>
          <w:sz w:val="26"/>
          <w:szCs w:val="26"/>
          <w14:textFill>
            <w14:solidFill>
              <w14:schemeClr w14:val="tx1"/>
            </w14:solidFill>
          </w14:textFill>
        </w:rPr>
      </w:pPr>
      <w:r>
        <w:rPr>
          <w:rFonts w:ascii="Arial" w:hAnsi="Arial" w:eastAsia="Calibri" w:cs="Arial"/>
          <w:b/>
          <w:bCs/>
          <w:color w:val="000000" w:themeColor="text1"/>
          <w:sz w:val="26"/>
          <w:szCs w:val="26"/>
          <w14:textFill>
            <w14:solidFill>
              <w14:schemeClr w14:val="tx1"/>
            </w14:solidFill>
          </w14:textFill>
        </w:rPr>
        <w:t>F. TEXTO CONSTITUCIONAL REFORMADO Y RÉGIMEN TRANSITORIO</w:t>
      </w:r>
    </w:p>
    <w:p w14:paraId="7D8034D5">
      <w:pPr>
        <w:tabs>
          <w:tab w:val="left" w:pos="284"/>
        </w:tabs>
        <w:spacing w:after="0" w:line="240" w:lineRule="auto"/>
        <w:jc w:val="center"/>
        <w:rPr>
          <w:rFonts w:ascii="Arial" w:hAnsi="Arial" w:eastAsia="Calibri" w:cs="Arial"/>
          <w:b/>
          <w:bCs/>
          <w:color w:val="000000" w:themeColor="text1"/>
          <w:sz w:val="26"/>
          <w:szCs w:val="26"/>
          <w14:textFill>
            <w14:solidFill>
              <w14:schemeClr w14:val="tx1"/>
            </w14:solidFill>
          </w14:textFill>
        </w:rPr>
      </w:pPr>
    </w:p>
    <w:p w14:paraId="5B515C20">
      <w:pPr>
        <w:tabs>
          <w:tab w:val="left" w:pos="284"/>
        </w:tabs>
        <w:spacing w:after="0" w:line="240" w:lineRule="auto"/>
        <w:jc w:val="both"/>
        <w:rPr>
          <w:rFonts w:ascii="Arial" w:hAnsi="Arial" w:eastAsia="Calibri" w:cs="Arial"/>
          <w:bCs/>
          <w:color w:val="000000" w:themeColor="text1"/>
          <w:sz w:val="26"/>
          <w:szCs w:val="26"/>
          <w14:textFill>
            <w14:solidFill>
              <w14:schemeClr w14:val="tx1"/>
            </w14:solidFill>
          </w14:textFill>
        </w:rPr>
      </w:pPr>
      <w:r>
        <w:rPr>
          <w:rFonts w:ascii="Arial" w:hAnsi="Arial" w:eastAsia="Calibri" w:cs="Arial"/>
          <w:bCs/>
          <w:color w:val="000000" w:themeColor="text1"/>
          <w:sz w:val="26"/>
          <w:szCs w:val="26"/>
          <w14:textFill>
            <w14:solidFill>
              <w14:schemeClr w14:val="tx1"/>
            </w14:solidFill>
          </w14:textFill>
        </w:rPr>
        <w:t xml:space="preserve">Por lo antes expuesto, se somete a la consideración y, en su caso, aprobación de esa H. Asamblea el siguiente: </w:t>
      </w:r>
    </w:p>
    <w:p w14:paraId="57B4813F">
      <w:pPr>
        <w:tabs>
          <w:tab w:val="left" w:pos="284"/>
        </w:tabs>
        <w:spacing w:after="0" w:line="240" w:lineRule="auto"/>
        <w:jc w:val="both"/>
        <w:rPr>
          <w:rFonts w:ascii="Arial" w:hAnsi="Arial" w:eastAsia="Calibri" w:cs="Arial"/>
          <w:bCs/>
          <w:color w:val="000000" w:themeColor="text1"/>
          <w:sz w:val="26"/>
          <w:szCs w:val="26"/>
          <w14:textFill>
            <w14:solidFill>
              <w14:schemeClr w14:val="tx1"/>
            </w14:solidFill>
          </w14:textFill>
        </w:rPr>
      </w:pPr>
    </w:p>
    <w:p w14:paraId="12E512BD">
      <w:pPr>
        <w:shd w:val="clear" w:color="auto" w:fill="FFFFFF"/>
        <w:spacing w:after="0"/>
        <w:jc w:val="both"/>
        <w:rPr>
          <w:rFonts w:ascii="Arial" w:hAnsi="Arial" w:eastAsia="MS Mincho" w:cs="Arial"/>
          <w:b/>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 xml:space="preserve">PROYECTO DE DECRETO MEDIANTE EL CUAL SE REFORMA </w:t>
      </w:r>
      <w:r>
        <w:rPr>
          <w:rFonts w:hint="default" w:ascii="Arial" w:hAnsi="Arial" w:eastAsia="MS Mincho" w:cs="Arial"/>
          <w:b/>
          <w:snapToGrid w:val="0"/>
          <w:color w:val="000000" w:themeColor="text1"/>
          <w:sz w:val="26"/>
          <w:szCs w:val="26"/>
          <w:lang w:val="es-MX" w:eastAsia="es-ES"/>
          <w14:textFill>
            <w14:solidFill>
              <w14:schemeClr w14:val="tx1"/>
            </w14:solidFill>
          </w14:textFill>
        </w:rPr>
        <w:t xml:space="preserve">EL PRIMER PÁRRAFO DE </w:t>
      </w:r>
      <w:r>
        <w:rPr>
          <w:rFonts w:ascii="Arial" w:hAnsi="Arial" w:eastAsia="MS Mincho" w:cs="Arial"/>
          <w:b/>
          <w:snapToGrid w:val="0"/>
          <w:color w:val="000000" w:themeColor="text1"/>
          <w:sz w:val="26"/>
          <w:szCs w:val="26"/>
          <w:lang w:eastAsia="es-ES"/>
          <w14:textFill>
            <w14:solidFill>
              <w14:schemeClr w14:val="tx1"/>
            </w14:solidFill>
          </w14:textFill>
        </w:rPr>
        <w:t>LA FRACCIÓN VI DEL APARTADO A, ASÍ COMO SE ADICIONA UN TERCER PÁRRAFO A LA FRACCIÓN IV DEL APARTADO B DEL ARTÍCULO 123 DE LA CONSTITUCIÓN POLÍTICA DE LOS ESTADOS UNIDOS MEXICANOS, EN MATERIA DE SALARIOS.</w:t>
      </w:r>
    </w:p>
    <w:p w14:paraId="5031FA59">
      <w:pPr>
        <w:shd w:val="clear" w:color="auto" w:fill="FFFFFF"/>
        <w:spacing w:after="0"/>
        <w:jc w:val="both"/>
        <w:rPr>
          <w:rFonts w:ascii="Arial" w:hAnsi="Arial" w:cs="Arial"/>
          <w:b/>
          <w:i/>
          <w:color w:val="000000" w:themeColor="text1"/>
          <w:sz w:val="26"/>
          <w:szCs w:val="26"/>
          <w:lang w:val="es-ES"/>
          <w14:textFill>
            <w14:solidFill>
              <w14:schemeClr w14:val="tx1"/>
            </w14:solidFill>
          </w14:textFill>
        </w:rPr>
      </w:pPr>
    </w:p>
    <w:p w14:paraId="560C0521">
      <w:pPr>
        <w:spacing w:after="0" w:line="240" w:lineRule="auto"/>
        <w:jc w:val="both"/>
        <w:rPr>
          <w:rFonts w:ascii="Arial" w:hAnsi="Arial" w:cs="Arial"/>
          <w:sz w:val="26"/>
          <w:szCs w:val="26"/>
        </w:rPr>
      </w:pPr>
      <w:r>
        <w:rPr>
          <w:rFonts w:ascii="Arial" w:hAnsi="Arial" w:cs="Arial"/>
          <w:b/>
          <w:bCs/>
          <w:sz w:val="26"/>
          <w:szCs w:val="26"/>
        </w:rPr>
        <w:t>Único</w:t>
      </w:r>
      <w:r>
        <w:rPr>
          <w:rFonts w:ascii="Arial" w:hAnsi="Arial" w:cs="Arial"/>
          <w:sz w:val="26"/>
          <w:szCs w:val="26"/>
        </w:rPr>
        <w:t xml:space="preserve">. Se reforma </w:t>
      </w:r>
      <w:r>
        <w:rPr>
          <w:rFonts w:hint="default" w:ascii="Arial" w:hAnsi="Arial" w:cs="Arial"/>
          <w:sz w:val="26"/>
          <w:szCs w:val="26"/>
          <w:lang w:val="es-MX"/>
        </w:rPr>
        <w:t xml:space="preserve">el primer párrafo de </w:t>
      </w:r>
      <w:r>
        <w:rPr>
          <w:rFonts w:ascii="Arial" w:hAnsi="Arial" w:cs="Arial"/>
          <w:sz w:val="26"/>
          <w:szCs w:val="26"/>
        </w:rPr>
        <w:t xml:space="preserve">la Fracción VI del Apartado A, así como se adiciona un tercer párrafo a la Fracción IV del Apartado B del Artículo 123 de la Constitución Política de los Estados Unidos Mexicanos, en materia de salarios, para quedar como sigue: </w:t>
      </w:r>
    </w:p>
    <w:p w14:paraId="16059B8F">
      <w:pPr>
        <w:spacing w:after="0" w:line="240" w:lineRule="auto"/>
        <w:jc w:val="both"/>
        <w:rPr>
          <w:rFonts w:ascii="Arial" w:hAnsi="Arial" w:cs="Arial"/>
          <w:sz w:val="26"/>
          <w:szCs w:val="26"/>
        </w:rPr>
      </w:pPr>
    </w:p>
    <w:p w14:paraId="15D9598D">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26"/>
          <w:szCs w:val="26"/>
          <w:lang w:eastAsia="es-ES"/>
        </w:rPr>
        <w:t xml:space="preserve"> …</w:t>
      </w:r>
    </w:p>
    <w:p w14:paraId="53BF0A32">
      <w:pPr>
        <w:spacing w:after="0" w:line="240" w:lineRule="auto"/>
        <w:jc w:val="both"/>
        <w:rPr>
          <w:rFonts w:ascii="Arial" w:hAnsi="Arial" w:eastAsia="Times New Roman" w:cs="Arial"/>
          <w:sz w:val="26"/>
          <w:szCs w:val="26"/>
          <w:lang w:eastAsia="es-ES"/>
        </w:rPr>
      </w:pPr>
    </w:p>
    <w:p w14:paraId="1DB82B9D">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176DBCB9">
      <w:pPr>
        <w:spacing w:after="0" w:line="240" w:lineRule="auto"/>
        <w:jc w:val="both"/>
        <w:rPr>
          <w:rFonts w:ascii="Arial" w:hAnsi="Arial" w:eastAsia="Times New Roman" w:cs="Arial"/>
          <w:sz w:val="26"/>
          <w:szCs w:val="26"/>
          <w:lang w:eastAsia="es-ES"/>
        </w:rPr>
      </w:pPr>
    </w:p>
    <w:p w14:paraId="284C6D68">
      <w:pPr>
        <w:numPr>
          <w:ilvl w:val="0"/>
          <w:numId w:val="5"/>
        </w:num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 ...</w:t>
      </w:r>
    </w:p>
    <w:p w14:paraId="682387CB">
      <w:pPr>
        <w:spacing w:after="0" w:line="240" w:lineRule="auto"/>
        <w:jc w:val="both"/>
        <w:rPr>
          <w:rFonts w:ascii="Arial" w:hAnsi="Arial" w:eastAsia="Times New Roman" w:cs="Arial"/>
          <w:sz w:val="26"/>
          <w:szCs w:val="26"/>
          <w:lang w:eastAsia="es-ES"/>
        </w:rPr>
      </w:pPr>
    </w:p>
    <w:p w14:paraId="00DDC65E">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V</w:t>
      </w:r>
      <w:r>
        <w:rPr>
          <w:rFonts w:ascii="Arial" w:hAnsi="Arial" w:eastAsia="Times New Roman" w:cs="Arial"/>
          <w:sz w:val="26"/>
          <w:szCs w:val="26"/>
          <w:lang w:eastAsia="es-ES"/>
        </w:rPr>
        <w:t>. …</w:t>
      </w:r>
    </w:p>
    <w:p w14:paraId="43BFB743">
      <w:pPr>
        <w:spacing w:after="0" w:line="240" w:lineRule="auto"/>
        <w:ind w:left="156"/>
        <w:jc w:val="both"/>
        <w:rPr>
          <w:rFonts w:ascii="Arial" w:hAnsi="Arial" w:eastAsia="Times New Roman" w:cs="Arial"/>
          <w:sz w:val="26"/>
          <w:szCs w:val="26"/>
          <w:lang w:eastAsia="es-ES"/>
        </w:rPr>
      </w:pPr>
    </w:p>
    <w:p w14:paraId="17F3BC49">
      <w:pPr>
        <w:spacing w:after="0" w:line="240" w:lineRule="auto"/>
        <w:jc w:val="both"/>
        <w:rPr>
          <w:rFonts w:ascii="Arial" w:hAnsi="Arial" w:eastAsia="Times New Roman" w:cs="Arial"/>
          <w:b/>
          <w:bCs/>
          <w:sz w:val="26"/>
          <w:szCs w:val="26"/>
          <w:lang w:eastAsia="es-ES"/>
        </w:rPr>
      </w:pPr>
      <w:r>
        <w:rPr>
          <w:rFonts w:ascii="Arial" w:hAnsi="Arial" w:eastAsia="Times New Roman" w:cs="Arial"/>
          <w:b/>
          <w:bCs/>
          <w:sz w:val="26"/>
          <w:szCs w:val="26"/>
          <w:lang w:eastAsia="es-ES"/>
        </w:rPr>
        <w:t>VI</w:t>
      </w:r>
      <w:r>
        <w:rPr>
          <w:rFonts w:ascii="Arial" w:hAnsi="Arial" w:eastAsia="Times New Roman" w:cs="Arial"/>
          <w:sz w:val="26"/>
          <w:szCs w:val="26"/>
          <w:lang w:eastAsia="es-ES"/>
        </w:rPr>
        <w:t xml:space="preserve">. 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 </w:t>
      </w:r>
      <w:r>
        <w:rPr>
          <w:rFonts w:ascii="Arial" w:hAnsi="Arial" w:eastAsia="Times New Roman" w:cs="Arial"/>
          <w:b/>
          <w:bCs/>
          <w:sz w:val="26"/>
          <w:szCs w:val="26"/>
          <w:lang w:eastAsia="es-ES"/>
        </w:rPr>
        <w:t xml:space="preserve">La fijación anual de los salarios mínimos generales o profesionales, o la revisión de los mismos, nunca estará por debajo de la inflación </w:t>
      </w:r>
      <w:r>
        <w:rPr>
          <w:rFonts w:hint="default" w:ascii="Arial" w:hAnsi="Arial" w:eastAsia="Times New Roman" w:cs="Arial"/>
          <w:b/>
          <w:bCs/>
          <w:sz w:val="26"/>
          <w:szCs w:val="26"/>
          <w:lang w:val="es-MX" w:eastAsia="es-ES"/>
        </w:rPr>
        <w:t>calculada</w:t>
      </w:r>
      <w:r>
        <w:rPr>
          <w:rFonts w:ascii="Arial" w:hAnsi="Arial" w:eastAsia="Times New Roman" w:cs="Arial"/>
          <w:b/>
          <w:bCs/>
          <w:sz w:val="26"/>
          <w:szCs w:val="26"/>
          <w:lang w:eastAsia="es-ES"/>
        </w:rPr>
        <w:t xml:space="preserve"> </w:t>
      </w:r>
      <w:r>
        <w:rPr>
          <w:rFonts w:hint="default" w:ascii="Arial" w:hAnsi="Arial" w:eastAsia="Times New Roman" w:cs="Arial"/>
          <w:b/>
          <w:bCs/>
          <w:sz w:val="26"/>
          <w:szCs w:val="26"/>
          <w:lang w:val="es-MX" w:eastAsia="es-ES"/>
        </w:rPr>
        <w:t xml:space="preserve">por el Instituto Nacional de Estadística y Geografía </w:t>
      </w:r>
      <w:r>
        <w:rPr>
          <w:rFonts w:ascii="Arial" w:hAnsi="Arial" w:eastAsia="Times New Roman" w:cs="Arial"/>
          <w:b/>
          <w:bCs/>
          <w:sz w:val="26"/>
          <w:szCs w:val="26"/>
          <w:lang w:eastAsia="es-ES"/>
        </w:rPr>
        <w:t>durante el periodo de su vigencia.</w:t>
      </w:r>
    </w:p>
    <w:p w14:paraId="591094D7">
      <w:pPr>
        <w:spacing w:after="0" w:line="240" w:lineRule="auto"/>
        <w:ind w:left="156"/>
        <w:jc w:val="both"/>
        <w:rPr>
          <w:rFonts w:ascii="Arial" w:hAnsi="Arial" w:eastAsia="Times New Roman" w:cs="Arial"/>
          <w:sz w:val="26"/>
          <w:szCs w:val="26"/>
          <w:lang w:eastAsia="es-ES"/>
        </w:rPr>
      </w:pPr>
    </w:p>
    <w:p w14:paraId="767C64E6">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590B646A">
      <w:pPr>
        <w:spacing w:after="0" w:line="240" w:lineRule="auto"/>
        <w:ind w:left="156"/>
        <w:jc w:val="both"/>
        <w:rPr>
          <w:rFonts w:ascii="Arial" w:hAnsi="Arial" w:eastAsia="Times New Roman" w:cs="Arial"/>
          <w:sz w:val="26"/>
          <w:szCs w:val="26"/>
          <w:lang w:eastAsia="es-ES"/>
        </w:rPr>
      </w:pPr>
    </w:p>
    <w:p w14:paraId="3921104A">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w:t>
      </w:r>
    </w:p>
    <w:p w14:paraId="27666F95">
      <w:pPr>
        <w:spacing w:after="0" w:line="240" w:lineRule="auto"/>
        <w:ind w:left="306"/>
        <w:jc w:val="both"/>
        <w:rPr>
          <w:rFonts w:ascii="Arial" w:hAnsi="Arial" w:eastAsia="Times New Roman" w:cs="Arial"/>
          <w:sz w:val="26"/>
          <w:szCs w:val="26"/>
          <w:lang w:eastAsia="es-ES"/>
        </w:rPr>
      </w:pPr>
    </w:p>
    <w:p w14:paraId="0A0D1B1B">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VII</w:t>
      </w:r>
      <w:r>
        <w:rPr>
          <w:rFonts w:ascii="Arial" w:hAnsi="Arial" w:eastAsia="Times New Roman" w:cs="Arial"/>
          <w:sz w:val="26"/>
          <w:szCs w:val="26"/>
          <w:lang w:eastAsia="es-ES"/>
        </w:rPr>
        <w:t xml:space="preserve">. a la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5662DA87">
      <w:pPr>
        <w:spacing w:after="0" w:line="240" w:lineRule="auto"/>
        <w:jc w:val="both"/>
        <w:rPr>
          <w:rFonts w:ascii="Arial" w:hAnsi="Arial" w:eastAsia="Times New Roman" w:cs="Arial"/>
          <w:sz w:val="26"/>
          <w:szCs w:val="26"/>
          <w:lang w:eastAsia="es-ES"/>
        </w:rPr>
      </w:pPr>
    </w:p>
    <w:p w14:paraId="221C9152">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xml:space="preserve"> …</w:t>
      </w:r>
    </w:p>
    <w:p w14:paraId="0339E44E">
      <w:pPr>
        <w:spacing w:after="0" w:line="240" w:lineRule="auto"/>
        <w:jc w:val="both"/>
        <w:rPr>
          <w:rFonts w:ascii="Arial" w:hAnsi="Arial" w:eastAsia="Times New Roman" w:cs="Arial"/>
          <w:bCs/>
          <w:sz w:val="26"/>
          <w:szCs w:val="26"/>
          <w:lang w:eastAsia="es-ES"/>
        </w:rPr>
      </w:pPr>
    </w:p>
    <w:p w14:paraId="409533C7">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III</w:t>
      </w:r>
      <w:r>
        <w:rPr>
          <w:rFonts w:ascii="Arial" w:hAnsi="Arial" w:eastAsia="Times New Roman" w:cs="Arial"/>
          <w:bCs/>
          <w:sz w:val="26"/>
          <w:szCs w:val="26"/>
          <w:lang w:eastAsia="es-ES"/>
        </w:rPr>
        <w:t>. …</w:t>
      </w:r>
    </w:p>
    <w:p w14:paraId="301C138D">
      <w:pPr>
        <w:spacing w:after="0" w:line="240" w:lineRule="auto"/>
        <w:jc w:val="both"/>
        <w:rPr>
          <w:rFonts w:ascii="Arial" w:hAnsi="Arial" w:eastAsia="Times New Roman" w:cs="Arial"/>
          <w:bCs/>
          <w:sz w:val="26"/>
          <w:szCs w:val="26"/>
          <w:lang w:eastAsia="es-ES"/>
        </w:rPr>
      </w:pPr>
    </w:p>
    <w:p w14:paraId="43930BD2">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IV.</w:t>
      </w:r>
      <w:r>
        <w:rPr>
          <w:rFonts w:ascii="Arial" w:hAnsi="Arial" w:eastAsia="Times New Roman" w:cs="Arial"/>
          <w:bCs/>
          <w:sz w:val="26"/>
          <w:szCs w:val="26"/>
          <w:lang w:eastAsia="es-ES"/>
        </w:rPr>
        <w:t xml:space="preserve"> Los salarios serán fijados en los presupuestos respectivos sin que su cuantía pueda ser disminuida durante la vigencia de éstos, sujetándose a lo dispuesto en el artículo 127 de esta Constitución y en la ley.</w:t>
      </w:r>
    </w:p>
    <w:p w14:paraId="78D4E335">
      <w:pPr>
        <w:spacing w:after="0" w:line="240" w:lineRule="auto"/>
        <w:ind w:left="164" w:firstLine="288"/>
        <w:jc w:val="both"/>
        <w:rPr>
          <w:rFonts w:ascii="Arial" w:hAnsi="Arial" w:eastAsia="Times New Roman" w:cs="Arial"/>
          <w:bCs/>
          <w:sz w:val="26"/>
          <w:szCs w:val="26"/>
          <w:lang w:eastAsia="es-ES"/>
        </w:rPr>
      </w:pPr>
    </w:p>
    <w:p w14:paraId="68F0EAA0">
      <w:pPr>
        <w:spacing w:after="0" w:line="240" w:lineRule="auto"/>
        <w:jc w:val="both"/>
        <w:rPr>
          <w:rFonts w:ascii="Arial" w:hAnsi="Arial" w:eastAsia="Times New Roman" w:cs="Arial"/>
          <w:bCs/>
          <w:sz w:val="26"/>
          <w:szCs w:val="26"/>
          <w:lang w:eastAsia="es-ES"/>
        </w:rPr>
      </w:pPr>
      <w:r>
        <w:rPr>
          <w:rFonts w:ascii="Arial" w:hAnsi="Arial" w:eastAsia="Times New Roman" w:cs="Arial"/>
          <w:bCs/>
          <w:sz w:val="26"/>
          <w:szCs w:val="26"/>
          <w:lang w:eastAsia="es-ES"/>
        </w:rPr>
        <w:t>En ningún caso los salarios podrán ser inferiores al mínimo para los trabajadores en general en las entidades federativas.</w:t>
      </w:r>
    </w:p>
    <w:p w14:paraId="7FF17D93">
      <w:pPr>
        <w:spacing w:after="0" w:line="240" w:lineRule="auto"/>
        <w:ind w:left="164"/>
        <w:jc w:val="both"/>
        <w:rPr>
          <w:rFonts w:ascii="Arial" w:hAnsi="Arial" w:eastAsia="Times New Roman" w:cs="Arial"/>
          <w:bCs/>
          <w:sz w:val="26"/>
          <w:szCs w:val="26"/>
          <w:lang w:eastAsia="es-ES"/>
        </w:rPr>
      </w:pPr>
    </w:p>
    <w:p w14:paraId="03090CB4">
      <w:pPr>
        <w:spacing w:after="0" w:line="240" w:lineRule="auto"/>
        <w:jc w:val="both"/>
        <w:rPr>
          <w:rFonts w:ascii="Arial" w:hAnsi="Arial" w:eastAsia="Times New Roman" w:cs="Arial"/>
          <w:b/>
          <w:sz w:val="26"/>
          <w:szCs w:val="26"/>
          <w:lang w:eastAsia="es-ES"/>
        </w:rPr>
      </w:pPr>
      <w:r>
        <w:rPr>
          <w:rFonts w:ascii="Arial" w:hAnsi="Arial" w:eastAsia="Times New Roman" w:cs="Arial"/>
          <w:b/>
          <w:sz w:val="26"/>
          <w:szCs w:val="26"/>
          <w:lang w:eastAsia="es-ES"/>
        </w:rPr>
        <w:t>Las maestras y los maestros de nivel básico de tiempo completo, policías, guardias nacionales, integrantes de la Fuerza Armada permanente, así como médicos y enfermeros, percibirán un salario mensual que no podrá ser inferior al salario promedio registrado ante el Instituto Mexicano del Seguro Social.</w:t>
      </w:r>
    </w:p>
    <w:p w14:paraId="6ED628BD">
      <w:pPr>
        <w:spacing w:after="0" w:line="240" w:lineRule="auto"/>
        <w:jc w:val="both"/>
        <w:rPr>
          <w:rFonts w:ascii="Arial" w:hAnsi="Arial" w:eastAsia="Times New Roman" w:cs="Arial"/>
          <w:bCs/>
          <w:sz w:val="26"/>
          <w:szCs w:val="26"/>
          <w:lang w:eastAsia="es-ES"/>
        </w:rPr>
      </w:pPr>
    </w:p>
    <w:p w14:paraId="6782E26A">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V</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p w14:paraId="3E33CE07">
      <w:pPr>
        <w:spacing w:after="0" w:line="240" w:lineRule="auto"/>
        <w:jc w:val="both"/>
        <w:rPr>
          <w:rFonts w:ascii="Arial" w:hAnsi="Arial" w:eastAsia="Times New Roman" w:cs="Arial"/>
          <w:b/>
          <w:bCs/>
          <w:sz w:val="26"/>
          <w:szCs w:val="26"/>
          <w:lang w:eastAsia="es-ES"/>
        </w:rPr>
      </w:pPr>
    </w:p>
    <w:p w14:paraId="6AF8EDE1">
      <w:pPr>
        <w:spacing w:after="0" w:line="240" w:lineRule="auto"/>
        <w:jc w:val="center"/>
        <w:rPr>
          <w:rFonts w:ascii="Arial" w:hAnsi="Arial" w:eastAsia="Times New Roman" w:cs="Arial"/>
          <w:b/>
          <w:bCs/>
          <w:sz w:val="26"/>
          <w:szCs w:val="26"/>
          <w:lang w:eastAsia="es-ES"/>
        </w:rPr>
      </w:pPr>
      <w:r>
        <w:rPr>
          <w:rFonts w:ascii="Arial" w:hAnsi="Arial" w:eastAsia="Times New Roman" w:cs="Arial"/>
          <w:b/>
          <w:bCs/>
          <w:sz w:val="26"/>
          <w:szCs w:val="26"/>
          <w:lang w:eastAsia="es-ES"/>
        </w:rPr>
        <w:t>TRANSITORIOS</w:t>
      </w:r>
    </w:p>
    <w:p w14:paraId="5890160E">
      <w:pPr>
        <w:spacing w:after="0" w:line="240" w:lineRule="auto"/>
        <w:jc w:val="both"/>
        <w:rPr>
          <w:rFonts w:ascii="Arial" w:hAnsi="Arial" w:eastAsia="Times New Roman" w:cs="Arial"/>
          <w:b/>
          <w:bCs/>
          <w:sz w:val="26"/>
          <w:szCs w:val="26"/>
          <w:lang w:eastAsia="es-ES"/>
        </w:rPr>
      </w:pPr>
    </w:p>
    <w:p w14:paraId="36DB68A5">
      <w:pPr>
        <w:shd w:val="clear" w:color="auto" w:fill="FFFFFF"/>
        <w:spacing w:after="0" w:line="276" w:lineRule="auto"/>
        <w:contextualSpacing/>
        <w:jc w:val="both"/>
        <w:rPr>
          <w:rFonts w:ascii="Arial" w:hAnsi="Arial" w:eastAsia="Times New Roman" w:cs="Arial"/>
          <w:sz w:val="26"/>
          <w:szCs w:val="26"/>
          <w:lang w:eastAsia="es-MX"/>
        </w:rPr>
      </w:pPr>
      <w:r>
        <w:rPr>
          <w:rFonts w:ascii="Arial" w:hAnsi="Arial" w:eastAsia="Times New Roman" w:cs="Arial"/>
          <w:b/>
          <w:bCs/>
          <w:sz w:val="26"/>
          <w:szCs w:val="26"/>
          <w:lang w:eastAsia="es-MX"/>
        </w:rPr>
        <w:t xml:space="preserve">Primero. </w:t>
      </w:r>
      <w:r>
        <w:rPr>
          <w:rFonts w:ascii="Arial" w:hAnsi="Arial" w:eastAsia="Times New Roman" w:cs="Arial"/>
          <w:sz w:val="26"/>
          <w:szCs w:val="26"/>
          <w:lang w:eastAsia="es-MX"/>
        </w:rPr>
        <w:t>El presente Decreto entrará en vigor al día siguiente de su publicación en el Diario Oficial de la Federación.</w:t>
      </w:r>
    </w:p>
    <w:p w14:paraId="19CCA20E">
      <w:pPr>
        <w:shd w:val="clear" w:color="auto" w:fill="FFFFFF"/>
        <w:spacing w:after="0" w:line="276" w:lineRule="auto"/>
        <w:contextualSpacing/>
        <w:jc w:val="both"/>
        <w:rPr>
          <w:rFonts w:ascii="Arial" w:hAnsi="Arial" w:eastAsia="Times New Roman" w:cs="Arial"/>
          <w:sz w:val="26"/>
          <w:szCs w:val="26"/>
          <w:lang w:eastAsia="es-MX"/>
        </w:rPr>
      </w:pPr>
    </w:p>
    <w:p w14:paraId="708A2888">
      <w:pPr>
        <w:shd w:val="clear" w:color="auto" w:fill="FFFFFF"/>
        <w:spacing w:after="0" w:line="276" w:lineRule="auto"/>
        <w:contextualSpacing/>
        <w:jc w:val="both"/>
        <w:rPr>
          <w:rFonts w:ascii="Arial" w:hAnsi="Arial" w:eastAsia="Times New Roman" w:cs="Arial"/>
          <w:sz w:val="26"/>
          <w:szCs w:val="26"/>
          <w:lang w:eastAsia="es-MX"/>
        </w:rPr>
      </w:pPr>
      <w:r>
        <w:rPr>
          <w:rFonts w:ascii="Arial" w:hAnsi="Arial" w:eastAsia="Times New Roman" w:cs="Arial"/>
          <w:b/>
          <w:bCs/>
          <w:sz w:val="26"/>
          <w:szCs w:val="26"/>
          <w:lang w:eastAsia="es-MX"/>
        </w:rPr>
        <w:t xml:space="preserve">Segundo. </w:t>
      </w:r>
      <w:r>
        <w:rPr>
          <w:rFonts w:ascii="Arial" w:hAnsi="Arial" w:eastAsia="Times New Roman" w:cs="Arial"/>
          <w:sz w:val="26"/>
          <w:szCs w:val="26"/>
          <w:lang w:eastAsia="es-MX"/>
        </w:rPr>
        <w:t>El salario a que hace referencia el párrafo tercero de la fracción IV del Apartado B del artículo 123 de esta Constitución es de dieciséis mil setecientos setenta y siete pesos con sesenta y ocho centavos, que equivale al salario mensual promedio registrado en 2023 en el Instituto Mexicano del Seguro Social actualizado por la inflación estimada para el año 2024.</w:t>
      </w:r>
    </w:p>
    <w:p w14:paraId="688E1485">
      <w:pPr>
        <w:shd w:val="clear" w:color="auto" w:fill="FFFFFF"/>
        <w:spacing w:after="0" w:line="276" w:lineRule="auto"/>
        <w:contextualSpacing/>
        <w:jc w:val="both"/>
        <w:rPr>
          <w:rFonts w:ascii="Arial" w:hAnsi="Arial" w:eastAsia="Times New Roman" w:cs="Arial"/>
          <w:sz w:val="26"/>
          <w:szCs w:val="26"/>
          <w:lang w:eastAsia="es-MX"/>
        </w:rPr>
      </w:pPr>
    </w:p>
    <w:p w14:paraId="67FAF9EA">
      <w:pPr>
        <w:spacing w:after="0" w:line="240" w:lineRule="auto"/>
        <w:jc w:val="both"/>
        <w:rPr>
          <w:rFonts w:ascii="Arial" w:hAnsi="Arial" w:cs="Arial"/>
          <w:sz w:val="26"/>
          <w:szCs w:val="26"/>
        </w:rPr>
      </w:pPr>
      <w:r>
        <w:rPr>
          <w:rFonts w:ascii="Arial" w:hAnsi="Arial" w:eastAsia="Times New Roman" w:cs="Arial"/>
          <w:sz w:val="26"/>
          <w:szCs w:val="26"/>
          <w:lang w:eastAsia="es-MX"/>
        </w:rPr>
        <w:t>Este monto se actualizará el 1° de enero de cada año, de acuerdo con la inflación estimada para ese año.</w:t>
      </w:r>
    </w:p>
    <w:p w14:paraId="68E743DC">
      <w:pPr>
        <w:pStyle w:val="10"/>
        <w:spacing w:after="0" w:line="240" w:lineRule="auto"/>
        <w:ind w:left="0"/>
        <w:jc w:val="both"/>
        <w:rPr>
          <w:rFonts w:ascii="Arial" w:hAnsi="Arial" w:eastAsia="Calibri" w:cs="Arial"/>
          <w:color w:val="000000" w:themeColor="text1"/>
          <w:sz w:val="26"/>
          <w:szCs w:val="26"/>
          <w14:textFill>
            <w14:solidFill>
              <w14:schemeClr w14:val="tx1"/>
            </w14:solidFill>
          </w14:textFill>
        </w:rPr>
      </w:pPr>
    </w:p>
    <w:p w14:paraId="3D5D0AB8">
      <w:pPr>
        <w:pStyle w:val="10"/>
        <w:spacing w:after="0" w:line="240" w:lineRule="auto"/>
        <w:ind w:left="0"/>
        <w:jc w:val="both"/>
      </w:pPr>
      <w:r>
        <w:rPr>
          <w:rFonts w:ascii="Arial" w:hAnsi="Arial" w:eastAsia="Calibri" w:cs="Arial"/>
          <w:color w:val="000000" w:themeColor="text1"/>
          <w:sz w:val="26"/>
          <w:szCs w:val="26"/>
          <w14:textFill>
            <w14:solidFill>
              <w14:schemeClr w14:val="tx1"/>
            </w14:solidFill>
          </w14:textFill>
        </w:rPr>
        <w:t xml:space="preserve">Dado en sala de reuniones de la Comisión de Puntos Constitucionales de la Cámara de Diputados, LXV Legislatura, a los ... días del mes de </w:t>
      </w:r>
      <w:r>
        <w:rPr>
          <w:rFonts w:hint="default" w:ascii="Arial" w:hAnsi="Arial" w:eastAsia="Calibri" w:cs="Arial"/>
          <w:color w:val="000000" w:themeColor="text1"/>
          <w:sz w:val="26"/>
          <w:szCs w:val="26"/>
          <w:lang w:val="es-MX"/>
          <w14:textFill>
            <w14:solidFill>
              <w14:schemeClr w14:val="tx1"/>
            </w14:solidFill>
          </w14:textFill>
        </w:rPr>
        <w:t>agosto</w:t>
      </w:r>
      <w:bookmarkStart w:id="2" w:name="_GoBack"/>
      <w:bookmarkEnd w:id="2"/>
      <w:r>
        <w:rPr>
          <w:rFonts w:ascii="Arial" w:hAnsi="Arial" w:eastAsia="Calibri" w:cs="Arial"/>
          <w:color w:val="000000" w:themeColor="text1"/>
          <w:sz w:val="26"/>
          <w:szCs w:val="26"/>
          <w14:textFill>
            <w14:solidFill>
              <w14:schemeClr w14:val="tx1"/>
            </w14:solidFill>
          </w14:textFill>
        </w:rPr>
        <w:t xml:space="preserve"> de 2024.</w:t>
      </w:r>
    </w:p>
    <w:p w14:paraId="69610268"/>
    <w:p w14:paraId="7DC51EEB"/>
    <w:p w14:paraId="4FA3A398"/>
    <w:sectPr>
      <w:headerReference r:id="rId5" w:type="default"/>
      <w:footerReference r:id="rId6" w:type="default"/>
      <w:pgSz w:w="12240" w:h="15840"/>
      <w:pgMar w:top="1417" w:right="1701" w:bottom="1417" w:left="1701"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Narrow">
    <w:panose1 w:val="020B0606020202030204"/>
    <w:charset w:val="00"/>
    <w:family w:val="auto"/>
    <w:pitch w:val="default"/>
    <w:sig w:usb0="00000287" w:usb1="00000800" w:usb2="00000000" w:usb3="00000000" w:csb0="2000009F" w:csb1="DFD70000"/>
  </w:font>
  <w:font w:name="Montserrat">
    <w:altName w:val="Segoe Print"/>
    <w:panose1 w:val="00000000000000000000"/>
    <w:charset w:val="00"/>
    <w:family w:val="auto"/>
    <w:pitch w:val="default"/>
    <w:sig w:usb0="00000000" w:usb1="00000000" w:usb2="00000000" w:usb3="00000000" w:csb0="00000197"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A566">
    <w:pPr>
      <w:pStyle w:val="6"/>
      <w:jc w:val="center"/>
    </w:pPr>
    <w:r>
      <w:t xml:space="preserve">Página </w:t>
    </w:r>
    <w:r>
      <w:rPr>
        <w:b/>
        <w:bCs/>
      </w:rPr>
      <w:fldChar w:fldCharType="begin"/>
    </w:r>
    <w:r>
      <w:rPr>
        <w:b/>
        <w:bCs/>
      </w:rPr>
      <w:instrText xml:space="preserve">PAGE</w:instrText>
    </w:r>
    <w:r>
      <w:rPr>
        <w:b/>
        <w:bCs/>
      </w:rPr>
      <w:fldChar w:fldCharType="separate"/>
    </w:r>
    <w:r>
      <w:rPr>
        <w:b/>
        <w:bCs/>
      </w:rPr>
      <w:t>29</w:t>
    </w:r>
    <w:r>
      <w:rPr>
        <w:b/>
        <w:bCs/>
      </w:rPr>
      <w:fldChar w:fldCharType="end"/>
    </w:r>
    <w:r>
      <w:t xml:space="preserve"> de </w:t>
    </w:r>
    <w:r>
      <w:rPr>
        <w:b/>
        <w:bCs/>
      </w:rPr>
      <w:fldChar w:fldCharType="begin"/>
    </w:r>
    <w:r>
      <w:rPr>
        <w:b/>
        <w:bCs/>
      </w:rPr>
      <w:instrText xml:space="preserve">NUMPAGES</w:instrText>
    </w:r>
    <w:r>
      <w:rPr>
        <w:b/>
        <w:bCs/>
      </w:rPr>
      <w:fldChar w:fldCharType="separate"/>
    </w:r>
    <w:r>
      <w:rPr>
        <w:b/>
        <w:bCs/>
      </w:rPr>
      <w:t>29</w:t>
    </w:r>
    <w:r>
      <w:rPr>
        <w:b/>
        <w:bCs/>
      </w:rPr>
      <w:fldChar w:fldCharType="end"/>
    </w:r>
  </w:p>
  <w:p w14:paraId="466C9EFB">
    <w:pPr>
      <w:pStyle w:val="6"/>
    </w:pPr>
  </w:p>
  <w:p w14:paraId="1C03BDE3"/>
  <w:p w14:paraId="667EDAAA"/>
  <w:p w14:paraId="52AFA1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FA16">
    <w:pPr>
      <w:spacing w:after="0" w:line="240" w:lineRule="auto"/>
      <w:ind w:left="4111"/>
      <w:jc w:val="both"/>
      <w:rPr>
        <w:rFonts w:ascii="Tahoma" w:hAnsi="Tahoma" w:cs="Tahoma"/>
        <w:b/>
        <w:bCs/>
        <w:caps/>
        <w:sz w:val="18"/>
        <w:szCs w:val="18"/>
      </w:rPr>
    </w:pPr>
    <w:r>
      <w:rPr>
        <w:lang w:eastAsia="es-MX"/>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1019175" cy="1082040"/>
          <wp:effectExtent l="0" t="0" r="952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rcRect l="56007" t="42548" r="30244" b="31503"/>
                  <a:stretch>
                    <a:fillRect/>
                  </a:stretch>
                </pic:blipFill>
                <pic:spPr>
                  <a:xfrm>
                    <a:off x="0" y="0"/>
                    <a:ext cx="1019175" cy="1082040"/>
                  </a:xfrm>
                  <a:prstGeom prst="rect">
                    <a:avLst/>
                  </a:prstGeom>
                  <a:noFill/>
                  <a:ln>
                    <a:noFill/>
                  </a:ln>
                </pic:spPr>
              </pic:pic>
            </a:graphicData>
          </a:graphic>
        </wp:anchor>
      </w:drawing>
    </w:r>
    <w:r>
      <w:rPr>
        <w:rFonts w:ascii="Tahoma" w:hAnsi="Tahoma" w:cs="Tahoma"/>
        <w:caps/>
        <w:sz w:val="18"/>
        <w:szCs w:val="18"/>
      </w:rPr>
      <w:t xml:space="preserve">Dictamen de la ComisiÓN de Puntos Constitucionales, A la INICIATIVA CON Proyecto de Decreto que PROPONE LA </w:t>
    </w:r>
    <w:r>
      <w:rPr>
        <w:rFonts w:ascii="Tahoma" w:hAnsi="Tahoma" w:eastAsia="MS Mincho" w:cs="Tahoma"/>
        <w:color w:val="000000" w:themeColor="text1"/>
        <w:sz w:val="18"/>
        <w:szCs w:val="26"/>
        <w:lang w:eastAsia="es-ES"/>
        <w14:textFill>
          <w14:solidFill>
            <w14:schemeClr w14:val="tx1"/>
          </w14:solidFill>
        </w14:textFill>
      </w:rPr>
      <w:t xml:space="preserve">MODIFICACIÓN DEL ARTÍCULO 123 DE LA CONSTITUCIÓN </w:t>
    </w:r>
    <w:r>
      <w:rPr>
        <w:rFonts w:ascii="Tahoma" w:hAnsi="Tahoma" w:cs="Tahoma"/>
        <w:caps/>
        <w:sz w:val="18"/>
        <w:szCs w:val="18"/>
      </w:rPr>
      <w:t xml:space="preserve">Política de los Estados Unidos Mexicanos, </w:t>
    </w:r>
    <w:r>
      <w:rPr>
        <w:rFonts w:ascii="Tahoma" w:hAnsi="Tahoma" w:cs="Tahoma"/>
        <w:b/>
        <w:bCs/>
        <w:caps/>
        <w:sz w:val="18"/>
        <w:szCs w:val="18"/>
      </w:rPr>
      <w:t>EN MATERIA DE SALARIOS.</w:t>
    </w:r>
  </w:p>
  <w:p w14:paraId="2C73C66F">
    <w:pPr>
      <w:pStyle w:val="5"/>
      <w:jc w:val="center"/>
      <w:rPr>
        <w:rFonts w:ascii="Tahoma" w:hAnsi="Tahoma" w:cs="Tahoma"/>
        <w:b/>
        <w:sz w:val="32"/>
        <w:szCs w:val="32"/>
      </w:rPr>
    </w:pPr>
    <w:r>
      <w:rPr>
        <w:rFonts w:ascii="Arial" w:hAnsi="Arial" w:cs="Arial"/>
        <w:b/>
        <w:sz w:val="28"/>
        <w:szCs w:val="28"/>
      </w:rPr>
      <w:br w:type="textWrapping"/>
    </w:r>
    <w:r>
      <w:rPr>
        <w:rFonts w:ascii="Arial" w:hAnsi="Arial" w:cs="Arial"/>
        <w:b/>
        <w:sz w:val="28"/>
        <w:szCs w:val="28"/>
      </w:rPr>
      <w:t>Comisión de Puntos Constitucionales</w:t>
    </w:r>
    <w:r>
      <w:rPr>
        <w:rFonts w:ascii="Tahoma" w:hAnsi="Tahoma" w:cs="Tahoma"/>
        <w:b/>
        <w:sz w:val="32"/>
        <w:szCs w:val="32"/>
      </w:rPr>
      <w:t xml:space="preserve"> </w:t>
    </w:r>
  </w:p>
  <w:p w14:paraId="143E03ED">
    <w:pPr>
      <w:pStyle w:val="5"/>
      <w:jc w:val="center"/>
      <w:rPr>
        <w:rFonts w:ascii="Tahoma" w:hAnsi="Tahoma" w:cs="Tahoma"/>
        <w:caps/>
        <w:sz w:val="18"/>
        <w:szCs w:val="18"/>
      </w:rPr>
    </w:pPr>
  </w:p>
  <w:p w14:paraId="716909B4">
    <w:pPr>
      <w:pStyle w:val="5"/>
      <w:jc w:val="center"/>
      <w:rPr>
        <w:rFonts w:ascii="Tahoma" w:hAnsi="Tahoma" w:cs="Tahoma"/>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5461C"/>
    <w:multiLevelType w:val="singleLevel"/>
    <w:tmpl w:val="F4A5461C"/>
    <w:lvl w:ilvl="0" w:tentative="0">
      <w:start w:val="1"/>
      <w:numFmt w:val="upperLetter"/>
      <w:suff w:val="space"/>
      <w:lvlText w:val="%1."/>
      <w:lvlJc w:val="left"/>
      <w:rPr>
        <w:rFonts w:hint="default"/>
        <w:b/>
        <w:bCs/>
      </w:rPr>
    </w:lvl>
  </w:abstractNum>
  <w:abstractNum w:abstractNumId="1">
    <w:nsid w:val="21FC0517"/>
    <w:multiLevelType w:val="multilevel"/>
    <w:tmpl w:val="21FC0517"/>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A76AF2"/>
    <w:multiLevelType w:val="singleLevel"/>
    <w:tmpl w:val="4DA76AF2"/>
    <w:lvl w:ilvl="0" w:tentative="0">
      <w:start w:val="1"/>
      <w:numFmt w:val="decimal"/>
      <w:suff w:val="space"/>
      <w:lvlText w:val="%1."/>
      <w:lvlJc w:val="left"/>
    </w:lvl>
  </w:abstractNum>
  <w:abstractNum w:abstractNumId="3">
    <w:nsid w:val="5D4F9E59"/>
    <w:multiLevelType w:val="singleLevel"/>
    <w:tmpl w:val="5D4F9E59"/>
    <w:lvl w:ilvl="0" w:tentative="0">
      <w:start w:val="1"/>
      <w:numFmt w:val="upperRoman"/>
      <w:suff w:val="space"/>
      <w:lvlText w:val="%1."/>
      <w:lvlJc w:val="left"/>
      <w:rPr>
        <w:rFonts w:hint="default"/>
        <w:b/>
        <w:bCs/>
      </w:rPr>
    </w:lvl>
  </w:abstractNum>
  <w:abstractNum w:abstractNumId="4">
    <w:nsid w:val="775B34C1"/>
    <w:multiLevelType w:val="multilevel"/>
    <w:tmpl w:val="775B34C1"/>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08"/>
  <w:hyphenationZone w:val="425"/>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5E4229"/>
    <w:rsid w:val="00133D7E"/>
    <w:rsid w:val="00134BB3"/>
    <w:rsid w:val="00140DA9"/>
    <w:rsid w:val="00153929"/>
    <w:rsid w:val="0018308C"/>
    <w:rsid w:val="001A4F13"/>
    <w:rsid w:val="001A6D56"/>
    <w:rsid w:val="001B2022"/>
    <w:rsid w:val="001C7C0A"/>
    <w:rsid w:val="001F3A43"/>
    <w:rsid w:val="0027473D"/>
    <w:rsid w:val="00276251"/>
    <w:rsid w:val="00332BCF"/>
    <w:rsid w:val="0033532B"/>
    <w:rsid w:val="00351E59"/>
    <w:rsid w:val="003705E9"/>
    <w:rsid w:val="004231ED"/>
    <w:rsid w:val="00451E72"/>
    <w:rsid w:val="004976F5"/>
    <w:rsid w:val="004B7E9D"/>
    <w:rsid w:val="0050439F"/>
    <w:rsid w:val="005D4A1C"/>
    <w:rsid w:val="005E21F9"/>
    <w:rsid w:val="006038B9"/>
    <w:rsid w:val="0062392F"/>
    <w:rsid w:val="00631AF4"/>
    <w:rsid w:val="0065013A"/>
    <w:rsid w:val="006D06F4"/>
    <w:rsid w:val="0070016F"/>
    <w:rsid w:val="00702256"/>
    <w:rsid w:val="00787BC9"/>
    <w:rsid w:val="007A0A68"/>
    <w:rsid w:val="007A7DF2"/>
    <w:rsid w:val="0080584C"/>
    <w:rsid w:val="0082203C"/>
    <w:rsid w:val="00822640"/>
    <w:rsid w:val="00834064"/>
    <w:rsid w:val="008641A1"/>
    <w:rsid w:val="008A21E6"/>
    <w:rsid w:val="008C0D71"/>
    <w:rsid w:val="009978E9"/>
    <w:rsid w:val="00A06CFD"/>
    <w:rsid w:val="00AF5816"/>
    <w:rsid w:val="00B01F14"/>
    <w:rsid w:val="00B56C33"/>
    <w:rsid w:val="00C163A0"/>
    <w:rsid w:val="00C66BC2"/>
    <w:rsid w:val="00C70E25"/>
    <w:rsid w:val="00D03AAB"/>
    <w:rsid w:val="00D4255A"/>
    <w:rsid w:val="00D52E8D"/>
    <w:rsid w:val="00DB05BD"/>
    <w:rsid w:val="00EC0FFA"/>
    <w:rsid w:val="00F247B3"/>
    <w:rsid w:val="00F86E1E"/>
    <w:rsid w:val="00FB69BE"/>
    <w:rsid w:val="00FF17FA"/>
    <w:rsid w:val="00FF37C4"/>
    <w:rsid w:val="012F7C77"/>
    <w:rsid w:val="016469D5"/>
    <w:rsid w:val="01D25AC7"/>
    <w:rsid w:val="02C2516F"/>
    <w:rsid w:val="04D80087"/>
    <w:rsid w:val="056043C8"/>
    <w:rsid w:val="07915B27"/>
    <w:rsid w:val="08FC3B74"/>
    <w:rsid w:val="0939121F"/>
    <w:rsid w:val="0A364C19"/>
    <w:rsid w:val="0B620E00"/>
    <w:rsid w:val="0EA52C64"/>
    <w:rsid w:val="101504F3"/>
    <w:rsid w:val="13951902"/>
    <w:rsid w:val="13C41980"/>
    <w:rsid w:val="14B20501"/>
    <w:rsid w:val="1559511F"/>
    <w:rsid w:val="164F33FC"/>
    <w:rsid w:val="16922F95"/>
    <w:rsid w:val="19B91A9F"/>
    <w:rsid w:val="1C44764C"/>
    <w:rsid w:val="1C73413A"/>
    <w:rsid w:val="1DEF3CBB"/>
    <w:rsid w:val="1E7B3C38"/>
    <w:rsid w:val="22643A8D"/>
    <w:rsid w:val="22B84105"/>
    <w:rsid w:val="22C43554"/>
    <w:rsid w:val="24894380"/>
    <w:rsid w:val="24D60C63"/>
    <w:rsid w:val="28A21100"/>
    <w:rsid w:val="2AE22F93"/>
    <w:rsid w:val="2B655F27"/>
    <w:rsid w:val="2C901409"/>
    <w:rsid w:val="2D2D392E"/>
    <w:rsid w:val="2EA3616A"/>
    <w:rsid w:val="2F901DEA"/>
    <w:rsid w:val="31AD0832"/>
    <w:rsid w:val="32290665"/>
    <w:rsid w:val="34F44E6F"/>
    <w:rsid w:val="350B4A94"/>
    <w:rsid w:val="357D3954"/>
    <w:rsid w:val="36124E5B"/>
    <w:rsid w:val="37F13C60"/>
    <w:rsid w:val="3B7B1805"/>
    <w:rsid w:val="3B8E7E39"/>
    <w:rsid w:val="3C315BF1"/>
    <w:rsid w:val="3C7E77FF"/>
    <w:rsid w:val="3CBE5CDB"/>
    <w:rsid w:val="3CDE36EB"/>
    <w:rsid w:val="435E4229"/>
    <w:rsid w:val="438A2F22"/>
    <w:rsid w:val="43BB2390"/>
    <w:rsid w:val="44C71B58"/>
    <w:rsid w:val="45125754"/>
    <w:rsid w:val="454C7980"/>
    <w:rsid w:val="47DC79C0"/>
    <w:rsid w:val="47EE7652"/>
    <w:rsid w:val="487C0DE9"/>
    <w:rsid w:val="49AB4415"/>
    <w:rsid w:val="4C031945"/>
    <w:rsid w:val="50B71807"/>
    <w:rsid w:val="50CF1F80"/>
    <w:rsid w:val="51015C73"/>
    <w:rsid w:val="54992F2B"/>
    <w:rsid w:val="57EA774C"/>
    <w:rsid w:val="59071DE7"/>
    <w:rsid w:val="5B024957"/>
    <w:rsid w:val="5B896235"/>
    <w:rsid w:val="5C5E2199"/>
    <w:rsid w:val="5D841F7C"/>
    <w:rsid w:val="5EE36345"/>
    <w:rsid w:val="5FB40FFA"/>
    <w:rsid w:val="600D5DA2"/>
    <w:rsid w:val="60884473"/>
    <w:rsid w:val="61F401C1"/>
    <w:rsid w:val="62A95748"/>
    <w:rsid w:val="6401024A"/>
    <w:rsid w:val="64856FE2"/>
    <w:rsid w:val="6579140C"/>
    <w:rsid w:val="65D516D2"/>
    <w:rsid w:val="69616135"/>
    <w:rsid w:val="6B230079"/>
    <w:rsid w:val="6B2B454C"/>
    <w:rsid w:val="700160DD"/>
    <w:rsid w:val="720E1D34"/>
    <w:rsid w:val="72A052F7"/>
    <w:rsid w:val="737861D9"/>
    <w:rsid w:val="741A68CD"/>
    <w:rsid w:val="74EC5E86"/>
    <w:rsid w:val="763A78B0"/>
    <w:rsid w:val="77BC27B9"/>
    <w:rsid w:val="79313A55"/>
    <w:rsid w:val="7A3C740B"/>
    <w:rsid w:val="7A8A245E"/>
    <w:rsid w:val="7AEF1A37"/>
    <w:rsid w:val="7B0A3283"/>
    <w:rsid w:val="7C086208"/>
    <w:rsid w:val="7CFD0D61"/>
    <w:rsid w:val="7E86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2"/>
    <w:autoRedefine/>
    <w:qFormat/>
    <w:uiPriority w:val="0"/>
    <w:rPr>
      <w:color w:val="0000FF"/>
      <w:u w:val="single"/>
    </w:rPr>
  </w:style>
  <w:style w:type="paragraph" w:styleId="5">
    <w:name w:val="header"/>
    <w:basedOn w:val="1"/>
    <w:autoRedefine/>
    <w:unhideWhenUsed/>
    <w:qFormat/>
    <w:uiPriority w:val="99"/>
    <w:pPr>
      <w:tabs>
        <w:tab w:val="center" w:pos="4252"/>
        <w:tab w:val="right" w:pos="8504"/>
      </w:tabs>
      <w:spacing w:after="0" w:line="240" w:lineRule="auto"/>
    </w:pPr>
  </w:style>
  <w:style w:type="paragraph" w:styleId="6">
    <w:name w:val="footer"/>
    <w:basedOn w:val="1"/>
    <w:autoRedefine/>
    <w:unhideWhenUsed/>
    <w:qFormat/>
    <w:uiPriority w:val="99"/>
    <w:pPr>
      <w:tabs>
        <w:tab w:val="center" w:pos="4252"/>
        <w:tab w:val="right" w:pos="8504"/>
      </w:tabs>
      <w:spacing w:after="0" w:line="240" w:lineRule="auto"/>
    </w:pPr>
  </w:style>
  <w:style w:type="paragraph" w:styleId="7">
    <w:name w:val="Body Text"/>
    <w:basedOn w:val="1"/>
    <w:autoRedefine/>
    <w:qFormat/>
    <w:uiPriority w:val="1"/>
    <w:rPr>
      <w:rFonts w:ascii="Arial" w:hAnsi="Arial" w:eastAsia="Arial" w:cs="Arial"/>
      <w:sz w:val="28"/>
      <w:szCs w:val="28"/>
      <w:lang w:val="es-ES"/>
    </w:rPr>
  </w:style>
  <w:style w:type="table" w:styleId="8">
    <w:name w:val="Table Grid"/>
    <w:basedOn w:val="3"/>
    <w:autoRedefine/>
    <w:qFormat/>
    <w:uiPriority w:val="39"/>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autoRedefine/>
    <w:qFormat/>
    <w:uiPriority w:val="1"/>
    <w:rPr>
      <w:rFonts w:ascii="Calibri" w:hAnsi="Calibri" w:eastAsia="Calibri" w:cs="Times New Roman"/>
      <w:sz w:val="22"/>
      <w:szCs w:val="22"/>
      <w:lang w:val="es-MX" w:eastAsia="en-US" w:bidi="ar-SA"/>
    </w:rPr>
  </w:style>
  <w:style w:type="paragraph" w:styleId="10">
    <w:name w:val="List Paragraph"/>
    <w:basedOn w:val="1"/>
    <w:autoRedefine/>
    <w:qFormat/>
    <w:uiPriority w:val="34"/>
    <w:pPr>
      <w:ind w:left="720"/>
      <w:contextualSpacing/>
    </w:pPr>
  </w:style>
  <w:style w:type="paragraph" w:customStyle="1" w:styleId="11">
    <w:name w:val="Texto"/>
    <w:basedOn w:val="1"/>
    <w:autoRedefine/>
    <w:qFormat/>
    <w:uiPriority w:val="0"/>
    <w:pPr>
      <w:spacing w:after="101" w:line="216" w:lineRule="exact"/>
      <w:ind w:firstLine="288"/>
      <w:jc w:val="both"/>
    </w:pPr>
    <w:rPr>
      <w:rFonts w:ascii="Arial" w:hAnsi="Arial" w:eastAsia="Times New Roman" w:cs="Arial"/>
      <w:sz w:val="18"/>
      <w:szCs w:val="18"/>
      <w:lang w:eastAsia="es-ES"/>
    </w:rPr>
  </w:style>
  <w:style w:type="paragraph" w:customStyle="1" w:styleId="12">
    <w:name w:val="Body text|1"/>
    <w:basedOn w:val="1"/>
    <w:autoRedefine/>
    <w:qFormat/>
    <w:uiPriority w:val="0"/>
    <w:pPr>
      <w:widowControl w:val="0"/>
      <w:shd w:val="clear" w:color="auto" w:fill="FFFFFF"/>
      <w:spacing w:after="320" w:line="300" w:lineRule="auto"/>
    </w:pPr>
    <w:rPr>
      <w:rFonts w:ascii="Arial" w:hAnsi="Arial" w:eastAsia="Arial" w:cs="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7540</Words>
  <Characters>41475</Characters>
  <Lines>345</Lines>
  <Paragraphs>97</Paragraphs>
  <TotalTime>7</TotalTime>
  <ScaleCrop>false</ScaleCrop>
  <LinksUpToDate>false</LinksUpToDate>
  <CharactersWithSpaces>48918</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2024-04-18T19:13:00Z</dcterms:created>
  <dc:creator>Uriel Piña</dc:creator>
  <cp:lastModifiedBy>Uriel Piña</cp:lastModifiedBy>
  <dcterms:modified xsi:type="dcterms:W3CDTF">2024-07-17T19:32:58Z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2058-12.2.0.17153</vt:lpwstr>
  </property>
  <property fmtid="{D5CDD505-2E9C-101B-9397-08002B2CF9AE}" pid="3" name="ICV">
    <vt:lpwstr>19C41243585546C7BFB00D6CD3227687_13</vt:lpwstr>
  </property>
</Properties>
</file>