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2326" w14:textId="1C62CE29" w:rsidR="00C846E6" w:rsidRDefault="00C846E6" w:rsidP="004201FB">
      <w:pPr>
        <w:spacing w:before="300" w:after="300"/>
        <w:jc w:val="right"/>
        <w:rPr>
          <w:b/>
          <w:bCs/>
          <w:color w:val="07BFBA"/>
        </w:rPr>
      </w:pPr>
      <w:bookmarkStart w:id="0" w:name="_Hlk33002076"/>
      <w:r w:rsidRPr="00487038">
        <w:rPr>
          <w:b/>
          <w:bCs/>
          <w:color w:val="07BFBA"/>
        </w:rPr>
        <w:t xml:space="preserve">Próxima publicación: </w:t>
      </w:r>
      <w:r w:rsidR="00584755">
        <w:rPr>
          <w:b/>
          <w:bCs/>
          <w:color w:val="07BFBA"/>
        </w:rPr>
        <w:t>4</w:t>
      </w:r>
      <w:r w:rsidR="00EB1539">
        <w:rPr>
          <w:b/>
          <w:bCs/>
          <w:color w:val="07BFBA"/>
        </w:rPr>
        <w:t xml:space="preserve"> de </w:t>
      </w:r>
      <w:r w:rsidR="00584755">
        <w:rPr>
          <w:b/>
          <w:bCs/>
          <w:color w:val="07BFBA"/>
        </w:rPr>
        <w:t xml:space="preserve">diciembre </w:t>
      </w:r>
      <w:r w:rsidR="0073190F">
        <w:rPr>
          <w:b/>
          <w:bCs/>
          <w:color w:val="07BFBA"/>
        </w:rPr>
        <w:t>de 2025</w:t>
      </w:r>
    </w:p>
    <w:tbl>
      <w:tblPr>
        <w:tblStyle w:val="Tablaconcuadrcul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03"/>
        <w:gridCol w:w="2154"/>
      </w:tblGrid>
      <w:tr w:rsidR="00F742F3" w14:paraId="64734859" w14:textId="77777777" w:rsidTr="00927E96">
        <w:trPr>
          <w:trHeight w:hRule="exact" w:val="907"/>
          <w:jc w:val="center"/>
        </w:trPr>
        <w:tc>
          <w:tcPr>
            <w:tcW w:w="2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1C3E6FA7" w14:textId="1F4761D7" w:rsidR="00EB1539" w:rsidRPr="00955321" w:rsidRDefault="002E5015" w:rsidP="00927E96">
            <w:pPr>
              <w:pStyle w:val="Prrafodelista"/>
              <w:ind w:left="0"/>
              <w:jc w:val="center"/>
              <w:rPr>
                <w:rFonts w:ascii="Arial Negrita" w:hAnsi="Arial Negrita" w:hint="eastAsia"/>
                <w:b/>
                <w:bCs/>
                <w:szCs w:val="28"/>
              </w:rPr>
            </w:pPr>
            <w:r w:rsidRPr="002E5015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Puestos de trabajo remunerados</w:t>
            </w:r>
          </w:p>
        </w:tc>
        <w:tc>
          <w:tcPr>
            <w:tcW w:w="30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14:paraId="224E10F8" w14:textId="77777777" w:rsidR="002E5015" w:rsidRDefault="002E5015" w:rsidP="00F742F3">
            <w:pPr>
              <w:pStyle w:val="Prrafodelista"/>
              <w:ind w:left="0"/>
              <w:jc w:val="center"/>
              <w:rPr>
                <w:rFonts w:ascii="Arial Negrita" w:hAnsi="Arial Negrita" w:hint="eastAsia"/>
                <w:b/>
                <w:bCs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27EDAF85" w14:textId="2660EA2E" w:rsidR="00EB1539" w:rsidRPr="00955321" w:rsidRDefault="002E5015" w:rsidP="00927E96">
            <w:pPr>
              <w:pStyle w:val="Prrafodelista"/>
              <w:ind w:left="0"/>
              <w:jc w:val="center"/>
              <w:rPr>
                <w:rFonts w:ascii="Arial Negrita" w:hAnsi="Arial Negrita" w:hint="eastAsia"/>
                <w:b/>
                <w:bCs/>
                <w:szCs w:val="28"/>
              </w:rPr>
            </w:pPr>
            <w:r w:rsidRPr="002E5015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 xml:space="preserve">Remuneraciones </w:t>
            </w:r>
            <w:r w:rsidR="00F742F3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br/>
            </w:r>
            <w:r w:rsidRPr="002E5015">
              <w:rPr>
                <w:b/>
                <w:bCs/>
                <w:kern w:val="24"/>
                <w:sz w:val="20"/>
                <w:szCs w:val="20"/>
                <w:lang w:val="es-ES" w:eastAsia="es-MX"/>
              </w:rPr>
              <w:t>de los asalariados</w:t>
            </w:r>
          </w:p>
        </w:tc>
      </w:tr>
      <w:tr w:rsidR="006F7482" w:rsidRPr="002E5015" w14:paraId="5F99DC1A" w14:textId="77777777" w:rsidTr="006B46C9">
        <w:trPr>
          <w:trHeight w:hRule="exact" w:val="454"/>
          <w:jc w:val="center"/>
        </w:trPr>
        <w:tc>
          <w:tcPr>
            <w:tcW w:w="2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75F1532" w14:textId="3EE38231" w:rsidR="000C1A8C" w:rsidRPr="008B70AD" w:rsidRDefault="005514A5" w:rsidP="00927E96">
            <w:pPr>
              <w:pStyle w:val="Prrafodelista"/>
              <w:ind w:left="0"/>
              <w:jc w:val="center"/>
              <w:rPr>
                <w:kern w:val="24"/>
                <w:sz w:val="18"/>
                <w:szCs w:val="18"/>
                <w:lang w:val="es-ES" w:eastAsia="es-MX"/>
              </w:rPr>
            </w:pPr>
            <w:r>
              <w:rPr>
                <w:rFonts w:eastAsia="Arial"/>
                <w:bCs/>
                <w:color w:val="000000" w:themeColor="text1"/>
                <w:sz w:val="18"/>
                <w:szCs w:val="18"/>
              </w:rPr>
              <w:t>1</w:t>
            </w:r>
            <w:r w:rsidR="00514E00" w:rsidRPr="00514E00">
              <w:rPr>
                <w:rFonts w:eastAsia="Arial"/>
                <w:bCs/>
                <w:color w:val="000000" w:themeColor="text1"/>
                <w:sz w:val="18"/>
                <w:szCs w:val="18"/>
              </w:rPr>
              <w:t>.</w:t>
            </w:r>
            <w:r w:rsidRPr="005514A5">
              <w:rPr>
                <w:rFonts w:eastAsia="Arial"/>
                <w:bCs/>
                <w:color w:val="000000" w:themeColor="text1"/>
                <w:sz w:val="18"/>
                <w:szCs w:val="18"/>
                <w:vertAlign w:val="superscript"/>
              </w:rPr>
              <w:t>er</w:t>
            </w:r>
            <w:r w:rsidR="00514E00">
              <w:rPr>
                <w:rFonts w:eastAsia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7482">
              <w:rPr>
                <w:kern w:val="24"/>
                <w:sz w:val="18"/>
                <w:szCs w:val="18"/>
                <w:lang w:val="es-ES" w:eastAsia="es-MX"/>
              </w:rPr>
              <w:t>trimestre</w:t>
            </w:r>
            <w:r w:rsidR="000C1A8C">
              <w:rPr>
                <w:kern w:val="24"/>
                <w:sz w:val="18"/>
                <w:szCs w:val="18"/>
                <w:lang w:val="es-ES" w:eastAsia="es-MX"/>
              </w:rPr>
              <w:br/>
            </w:r>
            <w:r w:rsidR="000C1A8C" w:rsidRPr="008B70AD">
              <w:rPr>
                <w:kern w:val="24"/>
                <w:sz w:val="18"/>
                <w:szCs w:val="18"/>
                <w:lang w:val="es-ES" w:eastAsia="es-MX"/>
              </w:rPr>
              <w:t>variación anual</w:t>
            </w:r>
          </w:p>
        </w:tc>
        <w:tc>
          <w:tcPr>
            <w:tcW w:w="30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5BCCA19" w14:textId="77777777" w:rsidR="006F7482" w:rsidRPr="008B70AD" w:rsidRDefault="006F7482" w:rsidP="00927E96">
            <w:pPr>
              <w:pStyle w:val="Prrafodelista"/>
              <w:ind w:left="0"/>
              <w:jc w:val="center"/>
              <w:rPr>
                <w:rFonts w:ascii="Arial Negrita" w:hAnsi="Arial Negrita" w:hint="eastAsia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6A1FDFF" w14:textId="68E4A656" w:rsidR="000C1A8C" w:rsidRPr="008B70AD" w:rsidRDefault="005514A5" w:rsidP="00927E96">
            <w:pPr>
              <w:pStyle w:val="Prrafodelista"/>
              <w:ind w:left="0"/>
              <w:jc w:val="center"/>
              <w:rPr>
                <w:kern w:val="24"/>
                <w:sz w:val="18"/>
                <w:szCs w:val="18"/>
                <w:lang w:val="es-ES" w:eastAsia="es-MX"/>
              </w:rPr>
            </w:pPr>
            <w:r>
              <w:rPr>
                <w:rFonts w:eastAsia="Arial"/>
                <w:bCs/>
                <w:color w:val="000000" w:themeColor="text1"/>
                <w:sz w:val="18"/>
                <w:szCs w:val="18"/>
              </w:rPr>
              <w:t>1</w:t>
            </w:r>
            <w:r w:rsidRPr="00514E00">
              <w:rPr>
                <w:rFonts w:eastAsia="Arial"/>
                <w:bCs/>
                <w:color w:val="000000" w:themeColor="text1"/>
                <w:sz w:val="18"/>
                <w:szCs w:val="18"/>
              </w:rPr>
              <w:t>.</w:t>
            </w:r>
            <w:r w:rsidRPr="005514A5">
              <w:rPr>
                <w:rFonts w:eastAsia="Arial"/>
                <w:bCs/>
                <w:color w:val="000000" w:themeColor="text1"/>
                <w:sz w:val="18"/>
                <w:szCs w:val="18"/>
                <w:vertAlign w:val="superscript"/>
              </w:rPr>
              <w:t>er</w:t>
            </w:r>
            <w:r w:rsidR="00514E00">
              <w:rPr>
                <w:rFonts w:eastAsia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4E00">
              <w:rPr>
                <w:kern w:val="24"/>
                <w:sz w:val="18"/>
                <w:szCs w:val="18"/>
                <w:lang w:val="es-ES" w:eastAsia="es-MX"/>
              </w:rPr>
              <w:t>trimestre</w:t>
            </w:r>
            <w:r w:rsidR="000C1A8C">
              <w:rPr>
                <w:kern w:val="24"/>
                <w:sz w:val="18"/>
                <w:szCs w:val="18"/>
                <w:lang w:val="es-ES" w:eastAsia="es-MX"/>
              </w:rPr>
              <w:br/>
            </w:r>
            <w:r w:rsidR="000C1A8C" w:rsidRPr="008B70AD">
              <w:rPr>
                <w:kern w:val="24"/>
                <w:sz w:val="18"/>
                <w:szCs w:val="18"/>
                <w:lang w:val="es-ES" w:eastAsia="es-MX"/>
              </w:rPr>
              <w:t>variación anual</w:t>
            </w:r>
          </w:p>
        </w:tc>
      </w:tr>
      <w:tr w:rsidR="002E5015" w:rsidRPr="002E5015" w14:paraId="15538954" w14:textId="77777777" w:rsidTr="003F1F1C">
        <w:trPr>
          <w:trHeight w:hRule="exact" w:val="510"/>
          <w:jc w:val="center"/>
        </w:trPr>
        <w:tc>
          <w:tcPr>
            <w:tcW w:w="2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4051F85" w14:textId="5225E376" w:rsidR="002E5015" w:rsidRPr="004C7F5B" w:rsidRDefault="009A40F8" w:rsidP="009A40F8">
            <w:pPr>
              <w:jc w:val="center"/>
              <w:rPr>
                <w:rFonts w:ascii="Arial Negrita" w:hAnsi="Arial Negrita" w:hint="eastAsia"/>
                <w:b/>
                <w:bCs/>
                <w:sz w:val="26"/>
                <w:szCs w:val="26"/>
                <w:highlight w:val="yellow"/>
              </w:rPr>
            </w:pPr>
            <w:r w:rsidRPr="003F1F1C">
              <w:rPr>
                <w:color w:val="808080"/>
                <w:sz w:val="26"/>
                <w:szCs w:val="26"/>
              </w:rPr>
              <w:t xml:space="preserve">▲ </w:t>
            </w:r>
            <w:r w:rsidR="003F1F1C" w:rsidRPr="003F1F1C">
              <w:rPr>
                <w:sz w:val="26"/>
                <w:szCs w:val="26"/>
              </w:rPr>
              <w:t>1.6</w:t>
            </w:r>
            <w:r w:rsidR="00BF1C8E" w:rsidRPr="003F1F1C">
              <w:rPr>
                <w:color w:val="000000" w:themeColor="text1"/>
                <w:sz w:val="26"/>
                <w:szCs w:val="26"/>
              </w:rPr>
              <w:t> </w:t>
            </w:r>
            <w:r w:rsidRPr="003F1F1C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30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3970862" w14:textId="77777777" w:rsidR="002E5015" w:rsidRPr="004C7F5B" w:rsidRDefault="002E5015" w:rsidP="00927E96">
            <w:pPr>
              <w:pStyle w:val="Prrafodelista"/>
              <w:ind w:left="0"/>
              <w:jc w:val="center"/>
              <w:rPr>
                <w:rFonts w:ascii="Arial Negrita" w:hAnsi="Arial Negrita" w:hint="eastAsia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142973FE" w14:textId="3D3E8428" w:rsidR="002E5015" w:rsidRPr="004C7F5B" w:rsidRDefault="009A40F8" w:rsidP="009A40F8">
            <w:pPr>
              <w:jc w:val="center"/>
              <w:rPr>
                <w:rFonts w:ascii="Arial Negrita" w:hAnsi="Arial Negrita" w:hint="eastAsia"/>
                <w:b/>
                <w:bCs/>
                <w:sz w:val="26"/>
                <w:szCs w:val="26"/>
                <w:highlight w:val="yellow"/>
              </w:rPr>
            </w:pPr>
            <w:r w:rsidRPr="003F1F1C">
              <w:rPr>
                <w:color w:val="808080"/>
                <w:sz w:val="26"/>
                <w:szCs w:val="26"/>
              </w:rPr>
              <w:t xml:space="preserve">▲ </w:t>
            </w:r>
            <w:r w:rsidRPr="003F1F1C">
              <w:rPr>
                <w:color w:val="000000" w:themeColor="text1"/>
                <w:sz w:val="26"/>
                <w:szCs w:val="26"/>
              </w:rPr>
              <w:t>6</w:t>
            </w:r>
            <w:r w:rsidR="003F1F1C" w:rsidRPr="003F1F1C">
              <w:rPr>
                <w:color w:val="000000" w:themeColor="text1"/>
                <w:sz w:val="26"/>
                <w:szCs w:val="26"/>
              </w:rPr>
              <w:t>.1</w:t>
            </w:r>
            <w:r w:rsidR="00BF1C8E" w:rsidRPr="003F1F1C">
              <w:rPr>
                <w:color w:val="000000" w:themeColor="text1"/>
                <w:sz w:val="26"/>
                <w:szCs w:val="26"/>
              </w:rPr>
              <w:t> </w:t>
            </w:r>
            <w:r w:rsidRPr="003F1F1C">
              <w:rPr>
                <w:color w:val="000000" w:themeColor="text1"/>
                <w:sz w:val="26"/>
                <w:szCs w:val="26"/>
              </w:rPr>
              <w:t>%</w:t>
            </w:r>
          </w:p>
        </w:tc>
      </w:tr>
    </w:tbl>
    <w:p w14:paraId="6D3E7EA2" w14:textId="0F20D95F" w:rsidR="00307AE4" w:rsidRPr="004E68EF" w:rsidRDefault="004F1C3A" w:rsidP="00307AE4">
      <w:pPr>
        <w:pStyle w:val="Prrafodelista"/>
        <w:spacing w:before="240"/>
        <w:ind w:left="0"/>
        <w:jc w:val="center"/>
        <w:rPr>
          <w:b/>
          <w:bCs/>
        </w:rPr>
      </w:pPr>
      <w:r w:rsidRPr="004E68EF">
        <w:rPr>
          <w:b/>
          <w:bCs/>
        </w:rPr>
        <w:t>Aumentaron</w:t>
      </w:r>
      <w:r w:rsidR="003E4A3C" w:rsidRPr="004E68EF">
        <w:rPr>
          <w:b/>
          <w:bCs/>
        </w:rPr>
        <w:t xml:space="preserve"> </w:t>
      </w:r>
      <w:r w:rsidR="004E68EF" w:rsidRPr="004E68EF">
        <w:rPr>
          <w:b/>
          <w:bCs/>
        </w:rPr>
        <w:t>1.6</w:t>
      </w:r>
      <w:r w:rsidR="00BF1C8E" w:rsidRPr="004E68EF">
        <w:t> </w:t>
      </w:r>
      <w:r w:rsidRPr="004E68EF">
        <w:rPr>
          <w:b/>
          <w:bCs/>
        </w:rPr>
        <w:t xml:space="preserve">% </w:t>
      </w:r>
      <w:r w:rsidR="00D91080" w:rsidRPr="004E68EF">
        <w:rPr>
          <w:b/>
          <w:bCs/>
        </w:rPr>
        <w:t xml:space="preserve">los </w:t>
      </w:r>
      <w:r w:rsidR="00A67858" w:rsidRPr="004E68EF">
        <w:rPr>
          <w:b/>
          <w:bCs/>
        </w:rPr>
        <w:t>puestos de trabajo remunerados</w:t>
      </w:r>
      <w:r w:rsidR="000C1A8C" w:rsidRPr="004E68EF">
        <w:rPr>
          <w:b/>
          <w:bCs/>
        </w:rPr>
        <w:t>,</w:t>
      </w:r>
      <w:r w:rsidR="00A67858" w:rsidRPr="004E68EF">
        <w:rPr>
          <w:b/>
          <w:bCs/>
        </w:rPr>
        <w:t xml:space="preserve"> </w:t>
      </w:r>
    </w:p>
    <w:p w14:paraId="2D214AE8" w14:textId="2F02AD30" w:rsidR="007979ED" w:rsidRPr="00FC424A" w:rsidRDefault="004F1C3A" w:rsidP="00252D5F">
      <w:pPr>
        <w:pStyle w:val="Prrafodelista"/>
        <w:ind w:left="0"/>
        <w:jc w:val="center"/>
        <w:rPr>
          <w:b/>
          <w:bCs/>
        </w:rPr>
      </w:pPr>
      <w:r w:rsidRPr="004E68EF">
        <w:rPr>
          <w:b/>
          <w:bCs/>
        </w:rPr>
        <w:t xml:space="preserve">en el </w:t>
      </w:r>
      <w:r w:rsidR="005514A5" w:rsidRPr="004E68EF">
        <w:rPr>
          <w:b/>
          <w:bCs/>
        </w:rPr>
        <w:t>primer trimestre de 2025</w:t>
      </w:r>
      <w:r w:rsidRPr="004E68EF">
        <w:rPr>
          <w:b/>
          <w:bCs/>
        </w:rPr>
        <w:t xml:space="preserve">, </w:t>
      </w:r>
      <w:r w:rsidR="00A67858" w:rsidRPr="004E68EF">
        <w:rPr>
          <w:b/>
          <w:bCs/>
        </w:rPr>
        <w:t>a tasa anual</w:t>
      </w:r>
    </w:p>
    <w:p w14:paraId="7BAFCC48" w14:textId="58A343AE" w:rsidR="0030541B" w:rsidRDefault="00D91080" w:rsidP="00D91080">
      <w:pPr>
        <w:spacing w:before="240"/>
      </w:pPr>
      <w:r>
        <w:t>L</w:t>
      </w:r>
      <w:r w:rsidR="00AD1F4F" w:rsidRPr="001D4152">
        <w:t xml:space="preserve">as </w:t>
      </w:r>
      <w:r w:rsidR="0030541B" w:rsidRPr="001D4152">
        <w:t>Mediciones Trimestrales de los Puestos de Trabajo y sus Remuneraciones por Entidad Federativa (</w:t>
      </w:r>
      <w:r w:rsidR="0030541B" w:rsidRPr="001D4152">
        <w:rPr>
          <w:smallCaps/>
        </w:rPr>
        <w:t>mtptref</w:t>
      </w:r>
      <w:r w:rsidR="0030541B" w:rsidRPr="001D4152">
        <w:t>)</w:t>
      </w:r>
      <w:r w:rsidR="002A11BC" w:rsidRPr="001D4152">
        <w:t xml:space="preserve"> </w:t>
      </w:r>
      <w:r w:rsidR="00F742F3" w:rsidRPr="00F742F3">
        <w:t>brindan una visión detallada del comportamiento de la ocupación en el país y en los estados</w:t>
      </w:r>
      <w:r w:rsidR="002A11BC" w:rsidRPr="001D4152">
        <w:t>.</w:t>
      </w:r>
    </w:p>
    <w:p w14:paraId="5208E0EF" w14:textId="703730AC" w:rsidR="008C0F17" w:rsidRPr="00A3244C" w:rsidRDefault="00EB1539" w:rsidP="00EB1539">
      <w:pPr>
        <w:spacing w:before="240"/>
        <w:jc w:val="center"/>
        <w:rPr>
          <w:b/>
          <w:bCs/>
          <w:smallCaps/>
          <w:sz w:val="26"/>
          <w:szCs w:val="26"/>
          <w:lang w:val="es-MX"/>
        </w:rPr>
      </w:pPr>
      <w:r w:rsidRPr="00A3244C">
        <w:rPr>
          <w:b/>
          <w:bCs/>
          <w:smallCaps/>
          <w:sz w:val="26"/>
          <w:szCs w:val="26"/>
          <w:lang w:val="es-MX"/>
        </w:rPr>
        <w:t xml:space="preserve">i. </w:t>
      </w:r>
      <w:r w:rsidR="007F2D30" w:rsidRPr="00A3244C">
        <w:rPr>
          <w:b/>
          <w:bCs/>
          <w:smallCaps/>
          <w:sz w:val="26"/>
          <w:szCs w:val="26"/>
          <w:lang w:val="es-MX"/>
        </w:rPr>
        <w:t>puestos de trabajo remunerados</w:t>
      </w:r>
    </w:p>
    <w:p w14:paraId="6F7F1EAC" w14:textId="3A197C86" w:rsidR="007F2D30" w:rsidRPr="006F215C" w:rsidRDefault="007F2D30" w:rsidP="00D91080">
      <w:pPr>
        <w:pStyle w:val="Textoindependiente21"/>
        <w:numPr>
          <w:ilvl w:val="12"/>
          <w:numId w:val="0"/>
        </w:numPr>
        <w:spacing w:before="240"/>
        <w:rPr>
          <w:color w:val="auto"/>
        </w:rPr>
      </w:pPr>
      <w:bookmarkStart w:id="1" w:name="_Hlk152013152"/>
      <w:r w:rsidRPr="006F215C">
        <w:rPr>
          <w:color w:val="auto"/>
        </w:rPr>
        <w:t xml:space="preserve">Durante el </w:t>
      </w:r>
      <w:r w:rsidR="005514A5" w:rsidRPr="006F215C">
        <w:rPr>
          <w:color w:val="auto"/>
        </w:rPr>
        <w:t>primer trimestre de 2025</w:t>
      </w:r>
      <w:r w:rsidRPr="006F215C">
        <w:rPr>
          <w:color w:val="auto"/>
        </w:rPr>
        <w:t xml:space="preserve">, el total de puestos de trabajo remunerados de las actividades económicas registró un nivel de </w:t>
      </w:r>
      <w:r w:rsidR="002F1752" w:rsidRPr="006F215C">
        <w:rPr>
          <w:color w:val="auto"/>
        </w:rPr>
        <w:t>39.4</w:t>
      </w:r>
      <w:r w:rsidR="00AB733B" w:rsidRPr="006F215C">
        <w:rPr>
          <w:color w:val="auto"/>
        </w:rPr>
        <w:t xml:space="preserve"> </w:t>
      </w:r>
      <w:r w:rsidRPr="006F215C">
        <w:rPr>
          <w:color w:val="auto"/>
        </w:rPr>
        <w:t xml:space="preserve">millones. Esto significó un incremento de </w:t>
      </w:r>
      <w:r w:rsidR="002F1752" w:rsidRPr="006F215C">
        <w:rPr>
          <w:color w:val="auto"/>
        </w:rPr>
        <w:t>1.6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>% a tasa anual.</w:t>
      </w:r>
    </w:p>
    <w:p w14:paraId="7B8F203A" w14:textId="3545C1CE" w:rsidR="005816E1" w:rsidRPr="005816E1" w:rsidRDefault="005816E1" w:rsidP="00D91080">
      <w:pPr>
        <w:pStyle w:val="Textoindependiente21"/>
        <w:numPr>
          <w:ilvl w:val="12"/>
          <w:numId w:val="0"/>
        </w:numPr>
        <w:spacing w:before="240"/>
        <w:rPr>
          <w:color w:val="auto"/>
        </w:rPr>
      </w:pPr>
      <w:r w:rsidRPr="006F215C">
        <w:rPr>
          <w:color w:val="auto"/>
        </w:rPr>
        <w:t xml:space="preserve">Las entidades federativas </w:t>
      </w:r>
      <w:r w:rsidR="00F904C4" w:rsidRPr="006F215C">
        <w:rPr>
          <w:color w:val="auto"/>
        </w:rPr>
        <w:t>con</w:t>
      </w:r>
      <w:r w:rsidRPr="006F215C">
        <w:rPr>
          <w:color w:val="auto"/>
        </w:rPr>
        <w:t xml:space="preserve"> los mayores </w:t>
      </w:r>
      <w:r w:rsidR="001D4058">
        <w:rPr>
          <w:color w:val="auto"/>
        </w:rPr>
        <w:t>crecimientos</w:t>
      </w:r>
      <w:r w:rsidRPr="006F215C">
        <w:rPr>
          <w:color w:val="auto"/>
        </w:rPr>
        <w:t xml:space="preserve"> </w:t>
      </w:r>
      <w:r w:rsidR="00F904C4" w:rsidRPr="006F215C">
        <w:rPr>
          <w:color w:val="auto"/>
        </w:rPr>
        <w:t>en los</w:t>
      </w:r>
      <w:r w:rsidRPr="006F215C">
        <w:rPr>
          <w:color w:val="auto"/>
        </w:rPr>
        <w:t xml:space="preserve"> puestos de trabajo remunerados</w:t>
      </w:r>
      <w:r w:rsidR="00CA2199" w:rsidRPr="006F215C">
        <w:rPr>
          <w:color w:val="auto"/>
        </w:rPr>
        <w:t>,</w:t>
      </w:r>
      <w:r w:rsidR="00507900" w:rsidRPr="006F215C">
        <w:rPr>
          <w:color w:val="auto"/>
        </w:rPr>
        <w:t xml:space="preserve"> en su comparación anual</w:t>
      </w:r>
      <w:r w:rsidR="00F904C4" w:rsidRPr="006F215C">
        <w:rPr>
          <w:color w:val="auto"/>
        </w:rPr>
        <w:t>,</w:t>
      </w:r>
      <w:r w:rsidR="00507900" w:rsidRPr="006F215C">
        <w:rPr>
          <w:color w:val="auto"/>
        </w:rPr>
        <w:t xml:space="preserve"> </w:t>
      </w:r>
      <w:r w:rsidRPr="006F215C">
        <w:rPr>
          <w:color w:val="auto"/>
        </w:rPr>
        <w:t>fueron</w:t>
      </w:r>
      <w:r w:rsidR="00507900" w:rsidRPr="006F215C">
        <w:rPr>
          <w:color w:val="auto"/>
        </w:rPr>
        <w:t xml:space="preserve"> </w:t>
      </w:r>
      <w:r w:rsidR="00FC5B30" w:rsidRPr="006F215C">
        <w:rPr>
          <w:color w:val="auto"/>
        </w:rPr>
        <w:t>Oaxaca</w:t>
      </w:r>
      <w:r w:rsidRPr="006F215C">
        <w:rPr>
          <w:color w:val="auto"/>
        </w:rPr>
        <w:t xml:space="preserve"> (</w:t>
      </w:r>
      <w:r w:rsidR="00FC5B30" w:rsidRPr="006F215C">
        <w:rPr>
          <w:color w:val="auto"/>
        </w:rPr>
        <w:t>4.4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 xml:space="preserve">%), </w:t>
      </w:r>
      <w:r w:rsidR="00FC5B30" w:rsidRPr="006F215C">
        <w:rPr>
          <w:color w:val="auto"/>
        </w:rPr>
        <w:t>Ciudad de México</w:t>
      </w:r>
      <w:r w:rsidRPr="006F215C">
        <w:rPr>
          <w:color w:val="auto"/>
        </w:rPr>
        <w:t xml:space="preserve"> (</w:t>
      </w:r>
      <w:r w:rsidR="00FC5B30" w:rsidRPr="006F215C">
        <w:rPr>
          <w:color w:val="auto"/>
        </w:rPr>
        <w:t>3.8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 xml:space="preserve">%), </w:t>
      </w:r>
      <w:r w:rsidR="00FC5B30" w:rsidRPr="006F215C">
        <w:rPr>
          <w:color w:val="auto"/>
        </w:rPr>
        <w:t>Yucatán</w:t>
      </w:r>
      <w:r w:rsidR="00BF1C8E" w:rsidRPr="006F215C">
        <w:rPr>
          <w:color w:val="auto"/>
        </w:rPr>
        <w:t xml:space="preserve"> </w:t>
      </w:r>
      <w:r w:rsidRPr="006F215C">
        <w:rPr>
          <w:color w:val="auto"/>
        </w:rPr>
        <w:t>(</w:t>
      </w:r>
      <w:r w:rsidR="00FC5B30" w:rsidRPr="006F215C">
        <w:rPr>
          <w:color w:val="auto"/>
        </w:rPr>
        <w:t>3.</w:t>
      </w:r>
      <w:r w:rsidR="00F904C4" w:rsidRPr="006F215C">
        <w:rPr>
          <w:color w:val="auto"/>
        </w:rPr>
        <w:t>4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 xml:space="preserve">%), </w:t>
      </w:r>
      <w:r w:rsidR="00FC5B30" w:rsidRPr="006F215C">
        <w:rPr>
          <w:color w:val="auto"/>
        </w:rPr>
        <w:t>Guerrero</w:t>
      </w:r>
      <w:r w:rsidRPr="006F215C">
        <w:rPr>
          <w:color w:val="auto"/>
        </w:rPr>
        <w:t xml:space="preserve"> (</w:t>
      </w:r>
      <w:r w:rsidR="00FC5B30" w:rsidRPr="006F215C">
        <w:rPr>
          <w:color w:val="auto"/>
        </w:rPr>
        <w:t>3.2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>%)</w:t>
      </w:r>
      <w:r w:rsidR="00BE6857" w:rsidRPr="006F215C">
        <w:rPr>
          <w:color w:val="auto"/>
        </w:rPr>
        <w:t xml:space="preserve"> y </w:t>
      </w:r>
      <w:r w:rsidR="00FC5B30" w:rsidRPr="006F215C">
        <w:rPr>
          <w:color w:val="auto"/>
        </w:rPr>
        <w:t>Querétaro</w:t>
      </w:r>
      <w:r w:rsidR="00BE6857" w:rsidRPr="006F215C">
        <w:rPr>
          <w:color w:val="auto"/>
        </w:rPr>
        <w:t xml:space="preserve"> </w:t>
      </w:r>
      <w:r w:rsidRPr="006F215C">
        <w:rPr>
          <w:color w:val="auto"/>
        </w:rPr>
        <w:t>(</w:t>
      </w:r>
      <w:r w:rsidR="00FC5B30" w:rsidRPr="006F215C">
        <w:rPr>
          <w:color w:val="auto"/>
        </w:rPr>
        <w:t>2.8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>%)</w:t>
      </w:r>
      <w:r w:rsidR="00BE6857" w:rsidRPr="006F215C">
        <w:rPr>
          <w:color w:val="auto"/>
        </w:rPr>
        <w:t>.</w:t>
      </w:r>
      <w:r w:rsidRPr="006F215C">
        <w:rPr>
          <w:color w:val="auto"/>
        </w:rPr>
        <w:t xml:space="preserve"> Por </w:t>
      </w:r>
      <w:r w:rsidR="00507900" w:rsidRPr="006F215C">
        <w:rPr>
          <w:color w:val="auto"/>
        </w:rPr>
        <w:t>el contrario</w:t>
      </w:r>
      <w:r w:rsidRPr="006F215C">
        <w:rPr>
          <w:color w:val="auto"/>
        </w:rPr>
        <w:t xml:space="preserve">, </w:t>
      </w:r>
      <w:r w:rsidR="007820B4" w:rsidRPr="006F215C">
        <w:rPr>
          <w:color w:val="auto"/>
        </w:rPr>
        <w:t xml:space="preserve">Campeche, </w:t>
      </w:r>
      <w:r w:rsidR="00F9166A" w:rsidRPr="006F215C">
        <w:rPr>
          <w:color w:val="auto"/>
        </w:rPr>
        <w:t xml:space="preserve">Tabasco, Veracruz, </w:t>
      </w:r>
      <w:r w:rsidR="00DE46E0" w:rsidRPr="006F215C">
        <w:rPr>
          <w:color w:val="auto"/>
        </w:rPr>
        <w:t xml:space="preserve">Quintana Roo, </w:t>
      </w:r>
      <w:r w:rsidR="00F9166A" w:rsidRPr="006F215C">
        <w:rPr>
          <w:color w:val="auto"/>
        </w:rPr>
        <w:t>Nayarit y Morelos</w:t>
      </w:r>
      <w:r w:rsidR="00DE46E0" w:rsidRPr="006F215C">
        <w:rPr>
          <w:color w:val="auto"/>
        </w:rPr>
        <w:t xml:space="preserve"> </w:t>
      </w:r>
      <w:r w:rsidR="00D132AE" w:rsidRPr="006F215C">
        <w:rPr>
          <w:color w:val="auto"/>
        </w:rPr>
        <w:t>mostraron</w:t>
      </w:r>
      <w:r w:rsidRPr="006F215C">
        <w:rPr>
          <w:color w:val="auto"/>
        </w:rPr>
        <w:t xml:space="preserve"> disminuciones</w:t>
      </w:r>
      <w:r w:rsidR="00F904C4" w:rsidRPr="006F215C">
        <w:rPr>
          <w:color w:val="auto"/>
        </w:rPr>
        <w:t xml:space="preserve"> </w:t>
      </w:r>
      <w:r w:rsidR="00EB1539" w:rsidRPr="006F215C">
        <w:rPr>
          <w:color w:val="auto"/>
        </w:rPr>
        <w:t>(ver cuadro 1).</w:t>
      </w:r>
    </w:p>
    <w:p w14:paraId="4202EDD4" w14:textId="77777777" w:rsidR="007F2D30" w:rsidRPr="007F2D30" w:rsidRDefault="007F2D30" w:rsidP="00D91080">
      <w:pPr>
        <w:pStyle w:val="Textoindependiente21"/>
        <w:numPr>
          <w:ilvl w:val="12"/>
          <w:numId w:val="0"/>
        </w:numPr>
        <w:spacing w:before="240"/>
        <w:rPr>
          <w:color w:val="auto"/>
        </w:rPr>
      </w:pPr>
    </w:p>
    <w:bookmarkEnd w:id="1"/>
    <w:p w14:paraId="02A99A80" w14:textId="77777777" w:rsidR="00B82B17" w:rsidRDefault="00B82B17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6AA865" w14:textId="44300E83" w:rsidR="00507900" w:rsidRPr="006F215C" w:rsidRDefault="00507900" w:rsidP="00507900">
      <w:pPr>
        <w:spacing w:before="120"/>
        <w:jc w:val="center"/>
        <w:rPr>
          <w:color w:val="4D565E"/>
          <w:sz w:val="20"/>
          <w:szCs w:val="20"/>
        </w:rPr>
      </w:pPr>
      <w:r w:rsidRPr="006F215C">
        <w:rPr>
          <w:color w:val="4D565E"/>
          <w:sz w:val="20"/>
          <w:szCs w:val="20"/>
        </w:rPr>
        <w:lastRenderedPageBreak/>
        <w:t>Cuadro 1</w:t>
      </w:r>
    </w:p>
    <w:p w14:paraId="77CB1CE1" w14:textId="32A0D34E" w:rsidR="00507900" w:rsidRPr="006F215C" w:rsidRDefault="00BA75EE" w:rsidP="00507900">
      <w:pPr>
        <w:pStyle w:val="Titcuadrograf"/>
        <w:ind w:left="0"/>
        <w:rPr>
          <w:smallCaps w:val="0"/>
          <w:color w:val="003057"/>
          <w:sz w:val="22"/>
          <w:szCs w:val="22"/>
        </w:rPr>
      </w:pPr>
      <w:r w:rsidRPr="006F215C">
        <w:rPr>
          <w:smallCaps w:val="0"/>
          <w:color w:val="003057"/>
          <w:sz w:val="22"/>
          <w:szCs w:val="22"/>
        </w:rPr>
        <w:t>V</w:t>
      </w:r>
      <w:r w:rsidR="00507900" w:rsidRPr="006F215C">
        <w:rPr>
          <w:smallCaps w:val="0"/>
          <w:color w:val="003057"/>
          <w:sz w:val="22"/>
          <w:szCs w:val="22"/>
        </w:rPr>
        <w:t>ariación de los puestos de trabajo remunerados</w:t>
      </w:r>
      <w:r w:rsidR="00A077B9" w:rsidRPr="006F215C">
        <w:rPr>
          <w:smallCaps w:val="0"/>
          <w:color w:val="003057"/>
          <w:sz w:val="22"/>
          <w:szCs w:val="22"/>
        </w:rPr>
        <w:t>,</w:t>
      </w:r>
      <w:r w:rsidR="00507900" w:rsidRPr="006F215C">
        <w:rPr>
          <w:smallCaps w:val="0"/>
          <w:color w:val="003057"/>
          <w:sz w:val="22"/>
          <w:szCs w:val="22"/>
        </w:rPr>
        <w:t xml:space="preserve"> por entidad federativa </w:t>
      </w:r>
    </w:p>
    <w:p w14:paraId="461FDD0C" w14:textId="3672D340" w:rsidR="00507900" w:rsidRPr="006F215C" w:rsidRDefault="00DF7F69" w:rsidP="00DF7F69">
      <w:pPr>
        <w:jc w:val="center"/>
        <w:rPr>
          <w:b/>
          <w:bCs/>
          <w:smallCaps/>
          <w:color w:val="27251F"/>
          <w:sz w:val="20"/>
          <w:szCs w:val="20"/>
          <w:vertAlign w:val="superscript"/>
        </w:rPr>
      </w:pPr>
      <w:r w:rsidRPr="006F215C">
        <w:rPr>
          <w:bCs/>
          <w:color w:val="27251F"/>
          <w:sz w:val="20"/>
          <w:szCs w:val="20"/>
          <w:lang w:eastAsia="es-MX"/>
        </w:rPr>
        <w:t>202</w:t>
      </w:r>
      <w:r w:rsidR="002403DF">
        <w:rPr>
          <w:bCs/>
          <w:color w:val="27251F"/>
          <w:sz w:val="20"/>
          <w:szCs w:val="20"/>
          <w:lang w:eastAsia="es-MX"/>
        </w:rPr>
        <w:t>3</w:t>
      </w:r>
      <w:r w:rsidRPr="006F215C">
        <w:rPr>
          <w:bCs/>
          <w:color w:val="27251F"/>
          <w:sz w:val="20"/>
          <w:szCs w:val="20"/>
          <w:lang w:eastAsia="es-MX"/>
        </w:rPr>
        <w:t xml:space="preserve"> a primer trimestre de 2025</w:t>
      </w:r>
    </w:p>
    <w:p w14:paraId="6AB42FB8" w14:textId="173F6993" w:rsidR="00A30F0A" w:rsidRPr="00D376CB" w:rsidRDefault="00A30F0A" w:rsidP="00507900">
      <w:pPr>
        <w:pStyle w:val="Titcuadrograf"/>
        <w:ind w:left="0"/>
        <w:rPr>
          <w:b w:val="0"/>
          <w:bCs/>
          <w:smallCaps w:val="0"/>
          <w:color w:val="27251F"/>
          <w:sz w:val="18"/>
          <w:szCs w:val="18"/>
        </w:rPr>
      </w:pPr>
      <w:r w:rsidRPr="006F215C">
        <w:rPr>
          <w:b w:val="0"/>
          <w:bCs/>
          <w:smallCaps w:val="0"/>
          <w:color w:val="27251F"/>
          <w:sz w:val="18"/>
          <w:szCs w:val="18"/>
        </w:rPr>
        <w:t>(variación porcentual anual)</w:t>
      </w:r>
    </w:p>
    <w:tbl>
      <w:tblPr>
        <w:tblStyle w:val="Tablaconcuadrcula6concolores-nfasis1"/>
        <w:tblW w:w="4634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883"/>
        <w:gridCol w:w="884"/>
        <w:gridCol w:w="884"/>
        <w:gridCol w:w="884"/>
        <w:gridCol w:w="884"/>
        <w:gridCol w:w="884"/>
        <w:gridCol w:w="884"/>
      </w:tblGrid>
      <w:tr w:rsidR="00DF7F69" w:rsidRPr="00902E21" w14:paraId="67E28E96" w14:textId="77777777" w:rsidTr="00DF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vMerge w:val="restart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54F5C318" w14:textId="4FC8DBEB" w:rsidR="00DF7F69" w:rsidRPr="00EB1539" w:rsidRDefault="00DF7F69" w:rsidP="003F27DE">
            <w:pPr>
              <w:jc w:val="center"/>
              <w:rPr>
                <w:bCs w:val="0"/>
                <w:color w:val="000000" w:themeColor="text1"/>
                <w:sz w:val="18"/>
                <w:szCs w:val="18"/>
              </w:rPr>
            </w:pPr>
            <w:bookmarkStart w:id="2" w:name="OLE_LINK1"/>
            <w:r>
              <w:rPr>
                <w:bCs w:val="0"/>
                <w:color w:val="000000" w:themeColor="text1"/>
                <w:sz w:val="18"/>
                <w:szCs w:val="18"/>
              </w:rPr>
              <w:t>Entidad federativa</w:t>
            </w:r>
          </w:p>
        </w:tc>
        <w:tc>
          <w:tcPr>
            <w:tcW w:w="883" w:type="dxa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396B808E" w14:textId="26621BF1" w:rsidR="00DF7F69" w:rsidRPr="00D05E60" w:rsidRDefault="00DF7F69" w:rsidP="003F2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D05E60">
              <w:rPr>
                <w:color w:val="000000" w:themeColor="text1"/>
                <w:sz w:val="18"/>
                <w:szCs w:val="18"/>
              </w:rPr>
              <w:t>2023</w:t>
            </w:r>
            <w:r w:rsidRPr="00D05E60">
              <w:rPr>
                <w:color w:val="000000" w:themeColor="text1"/>
                <w:sz w:val="18"/>
                <w:szCs w:val="18"/>
                <w:vertAlign w:val="superscript"/>
              </w:rPr>
              <w:t>1/</w:t>
            </w:r>
          </w:p>
        </w:tc>
        <w:tc>
          <w:tcPr>
            <w:tcW w:w="4420" w:type="dxa"/>
            <w:gridSpan w:val="5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11DF7C6A" w14:textId="6CBE92E3" w:rsidR="00DF7F69" w:rsidRPr="00D05E60" w:rsidRDefault="00DF7F69" w:rsidP="003F2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D05E60">
              <w:rPr>
                <w:color w:val="000000" w:themeColor="text1"/>
                <w:sz w:val="18"/>
                <w:szCs w:val="18"/>
              </w:rPr>
              <w:t>2024</w:t>
            </w:r>
            <w:r w:rsidR="0051326C" w:rsidRPr="00D05E6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D05E60">
              <w:rPr>
                <w:color w:val="000000" w:themeColor="text1"/>
                <w:sz w:val="18"/>
                <w:szCs w:val="18"/>
                <w:vertAlign w:val="superscript"/>
              </w:rPr>
              <w:t>/</w:t>
            </w:r>
          </w:p>
        </w:tc>
        <w:tc>
          <w:tcPr>
            <w:tcW w:w="884" w:type="dxa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04D7DA69" w14:textId="7E0096EE" w:rsidR="00DF7F69" w:rsidRPr="00EB1539" w:rsidRDefault="00DF7F69" w:rsidP="003F2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F5C94">
              <w:rPr>
                <w:bCs w:val="0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DE77EA" w:rsidRPr="00902E21" w14:paraId="30A0B041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vMerge/>
            <w:shd w:val="clear" w:color="auto" w:fill="80DDD7"/>
            <w:vAlign w:val="center"/>
          </w:tcPr>
          <w:p w14:paraId="0438AA58" w14:textId="77777777" w:rsidR="00DE77EA" w:rsidRPr="00EB1539" w:rsidRDefault="00DE77EA" w:rsidP="009F5C94">
            <w:pPr>
              <w:jc w:val="center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dxa"/>
            <w:vMerge w:val="restart"/>
            <w:shd w:val="clear" w:color="auto" w:fill="BDEDEA"/>
            <w:vAlign w:val="center"/>
          </w:tcPr>
          <w:p w14:paraId="0CEB95DD" w14:textId="6676F1CB" w:rsidR="00DE77EA" w:rsidRPr="00EB1539" w:rsidRDefault="00DE77EA" w:rsidP="009F5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Anual</w:t>
            </w:r>
          </w:p>
        </w:tc>
        <w:tc>
          <w:tcPr>
            <w:tcW w:w="884" w:type="dxa"/>
            <w:shd w:val="clear" w:color="auto" w:fill="BDEDEA"/>
            <w:vAlign w:val="center"/>
          </w:tcPr>
          <w:p w14:paraId="44E0F2FC" w14:textId="17C2732D" w:rsidR="00DE77EA" w:rsidRPr="00EB1539" w:rsidRDefault="00DE77EA" w:rsidP="009F5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</w:rPr>
              <w:t>1.</w:t>
            </w: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884" w:type="dxa"/>
            <w:shd w:val="clear" w:color="auto" w:fill="BDEDEA"/>
            <w:vAlign w:val="center"/>
          </w:tcPr>
          <w:p w14:paraId="04D69421" w14:textId="59C92EFA" w:rsidR="00DE77EA" w:rsidRPr="00EB1539" w:rsidRDefault="00DE77EA" w:rsidP="009F5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b/>
                <w:color w:val="000000" w:themeColor="text1"/>
                <w:sz w:val="18"/>
                <w:szCs w:val="18"/>
              </w:rPr>
              <w:t>2</w:t>
            </w: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eastAsia="Arial"/>
                <w:b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884" w:type="dxa"/>
            <w:shd w:val="clear" w:color="auto" w:fill="BDEDEA"/>
            <w:vAlign w:val="center"/>
          </w:tcPr>
          <w:p w14:paraId="36FD5CA7" w14:textId="4BD69777" w:rsidR="00DE77EA" w:rsidRPr="00EB1539" w:rsidRDefault="00DE77EA" w:rsidP="009F5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b/>
                <w:color w:val="000000" w:themeColor="text1"/>
                <w:sz w:val="18"/>
                <w:szCs w:val="18"/>
              </w:rPr>
              <w:t>3</w:t>
            </w: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</w:rPr>
              <w:t>.</w:t>
            </w: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884" w:type="dxa"/>
            <w:shd w:val="clear" w:color="auto" w:fill="BDEDEA"/>
            <w:vAlign w:val="center"/>
          </w:tcPr>
          <w:p w14:paraId="30D84205" w14:textId="2315BE02" w:rsidR="00DE77EA" w:rsidRPr="00EB1539" w:rsidRDefault="00DE77EA" w:rsidP="009F5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b/>
                <w:color w:val="000000" w:themeColor="text1"/>
                <w:sz w:val="18"/>
                <w:szCs w:val="18"/>
              </w:rPr>
              <w:t>4</w:t>
            </w: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eastAsia="Arial"/>
                <w:b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884" w:type="dxa"/>
            <w:vMerge w:val="restart"/>
            <w:shd w:val="clear" w:color="auto" w:fill="BDEDEA"/>
            <w:vAlign w:val="center"/>
          </w:tcPr>
          <w:p w14:paraId="23422FA9" w14:textId="7C356FB5" w:rsidR="00DE77EA" w:rsidRDefault="00DE77EA" w:rsidP="009F5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b/>
                <w:color w:val="000000" w:themeColor="text1"/>
                <w:sz w:val="18"/>
                <w:szCs w:val="18"/>
              </w:rPr>
              <w:t>Anual</w:t>
            </w:r>
          </w:p>
        </w:tc>
        <w:tc>
          <w:tcPr>
            <w:tcW w:w="884" w:type="dxa"/>
            <w:shd w:val="clear" w:color="auto" w:fill="BDEDEA"/>
            <w:vAlign w:val="center"/>
          </w:tcPr>
          <w:p w14:paraId="73697B00" w14:textId="3CCB86CC" w:rsidR="00DE77EA" w:rsidRPr="00EB1539" w:rsidRDefault="00DE77EA" w:rsidP="009F5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</w:rPr>
              <w:t>1.</w:t>
            </w: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  <w:vertAlign w:val="superscript"/>
              </w:rPr>
              <w:t>er</w:t>
            </w:r>
          </w:p>
        </w:tc>
      </w:tr>
      <w:tr w:rsidR="00DE77EA" w:rsidRPr="00902E21" w14:paraId="6C9F7EFA" w14:textId="77777777" w:rsidTr="00DF7F6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vMerge/>
            <w:shd w:val="clear" w:color="auto" w:fill="80DDD7"/>
            <w:vAlign w:val="center"/>
            <w:hideMark/>
          </w:tcPr>
          <w:p w14:paraId="79850347" w14:textId="77777777" w:rsidR="00DE77EA" w:rsidRPr="00EB1539" w:rsidRDefault="00DE77EA" w:rsidP="00DE77EA">
            <w:pPr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80DDD7"/>
            <w:vAlign w:val="center"/>
          </w:tcPr>
          <w:p w14:paraId="588E1DF8" w14:textId="1EAC02E6" w:rsidR="00DE77EA" w:rsidRPr="00EB1539" w:rsidRDefault="00DE77EA" w:rsidP="00D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36" w:type="dxa"/>
            <w:gridSpan w:val="4"/>
            <w:shd w:val="clear" w:color="auto" w:fill="80DDD7"/>
            <w:vAlign w:val="center"/>
          </w:tcPr>
          <w:p w14:paraId="3245D21B" w14:textId="336C5A06" w:rsidR="00DE77EA" w:rsidRPr="00EB1539" w:rsidRDefault="00DE77EA" w:rsidP="00D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trimestre</w:t>
            </w:r>
          </w:p>
        </w:tc>
        <w:tc>
          <w:tcPr>
            <w:tcW w:w="884" w:type="dxa"/>
            <w:vMerge/>
            <w:shd w:val="clear" w:color="auto" w:fill="80DDD7"/>
            <w:vAlign w:val="center"/>
          </w:tcPr>
          <w:p w14:paraId="220F459B" w14:textId="43D52F76" w:rsidR="00DE77EA" w:rsidRPr="00EB1539" w:rsidRDefault="00DE77EA" w:rsidP="00D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80DDD7"/>
            <w:vAlign w:val="center"/>
          </w:tcPr>
          <w:p w14:paraId="264CD54C" w14:textId="7BBDF641" w:rsidR="00DE77EA" w:rsidRPr="00EB1539" w:rsidRDefault="00DE77EA" w:rsidP="00D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trimestre</w:t>
            </w:r>
          </w:p>
        </w:tc>
      </w:tr>
      <w:tr w:rsidR="0051326C" w:rsidRPr="00902E21" w14:paraId="615E1E38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C0C0C0"/>
            <w:noWrap/>
            <w:vAlign w:val="center"/>
            <w:hideMark/>
          </w:tcPr>
          <w:p w14:paraId="3DD729C4" w14:textId="61F28706" w:rsidR="0051326C" w:rsidRPr="0051326C" w:rsidRDefault="0051326C" w:rsidP="0051326C">
            <w:pPr>
              <w:ind w:left="113"/>
              <w:rPr>
                <w:color w:val="000000" w:themeColor="text1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Nacional</w:t>
            </w:r>
          </w:p>
        </w:tc>
        <w:tc>
          <w:tcPr>
            <w:tcW w:w="883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026A223E" w14:textId="3032E4B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326C">
              <w:rPr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84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3CB0566D" w14:textId="2B7D4422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326C">
              <w:rPr>
                <w:b/>
                <w:bCs/>
                <w:color w:val="000000"/>
                <w:sz w:val="18"/>
                <w:szCs w:val="18"/>
              </w:rPr>
              <w:t>0.3</w:t>
            </w:r>
          </w:p>
        </w:tc>
        <w:tc>
          <w:tcPr>
            <w:tcW w:w="884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53F06C64" w14:textId="7FAB854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326C">
              <w:rPr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84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497B0C2C" w14:textId="7225903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326C">
              <w:rPr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84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108ED7A4" w14:textId="261BA06C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326C">
              <w:rPr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shd w:val="clear" w:color="auto" w:fill="C0C0C0"/>
            <w:vAlign w:val="center"/>
          </w:tcPr>
          <w:p w14:paraId="0F46D56C" w14:textId="0CE6197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51326C">
              <w:rPr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52F37862" w14:textId="726CAA79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326C">
              <w:rPr>
                <w:b/>
                <w:bCs/>
                <w:color w:val="000000"/>
                <w:sz w:val="18"/>
                <w:szCs w:val="18"/>
              </w:rPr>
              <w:t>1.6</w:t>
            </w:r>
          </w:p>
        </w:tc>
      </w:tr>
      <w:tr w:rsidR="0051326C" w:rsidRPr="00902E21" w14:paraId="5EF01112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72BA2348" w14:textId="776AB6DE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Aguascalientes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69E8724C" w14:textId="53F65F5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575B23E" w14:textId="2DB3FCF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F43A5D3" w14:textId="6CFBAB2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413D7D6C" w14:textId="0DE2C05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F01760B" w14:textId="4EF92E6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84" w:type="dxa"/>
            <w:vAlign w:val="center"/>
          </w:tcPr>
          <w:p w14:paraId="714D2317" w14:textId="4876281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-0.5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61A6DB9" w14:textId="77ECF22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1.9</w:t>
            </w:r>
          </w:p>
        </w:tc>
      </w:tr>
      <w:tr w:rsidR="0051326C" w:rsidRPr="00902E21" w14:paraId="49C970C1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3ACBC897" w14:textId="70C3868B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Baja California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6DB15A8" w14:textId="180D816D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DDAAED8" w14:textId="592B010C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9723BA9" w14:textId="61D40A0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E6775CB" w14:textId="1E91216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21EDDCF" w14:textId="40BC5AF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65978E52" w14:textId="14FAA60D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5305213" w14:textId="6EC0FEE9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1.8</w:t>
            </w:r>
          </w:p>
        </w:tc>
      </w:tr>
      <w:tr w:rsidR="0051326C" w:rsidRPr="00902E21" w14:paraId="7D03C822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4FF76B63" w14:textId="0A00165C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Baja California Sur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61DF958C" w14:textId="4066858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978FADE" w14:textId="381DC8D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13CFCC7" w14:textId="69AF95E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BBA27DF" w14:textId="1017CEE3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F987E16" w14:textId="7C68A4DE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84" w:type="dxa"/>
            <w:vAlign w:val="center"/>
          </w:tcPr>
          <w:p w14:paraId="488F442F" w14:textId="5589C0A6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829F75E" w14:textId="20B07EA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2.1</w:t>
            </w:r>
          </w:p>
        </w:tc>
      </w:tr>
      <w:tr w:rsidR="0051326C" w:rsidRPr="00902E21" w14:paraId="3E1E0540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1521AB47" w14:textId="7DAD965C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Campeche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7B47E10" w14:textId="076E527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254F949" w14:textId="2E5F640C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0EC5EAE" w14:textId="1C8DE3A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-4.1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6F9081C" w14:textId="0A630F21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-8.4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AB8FE46" w14:textId="154824D5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-11.0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61EBEF69" w14:textId="0BB9A991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-4.4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5FFB70C" w14:textId="6CAADD4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-7.6</w:t>
            </w:r>
          </w:p>
        </w:tc>
      </w:tr>
      <w:tr w:rsidR="0051326C" w:rsidRPr="00902E21" w14:paraId="2A01B247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20BC4371" w14:textId="3A12F8CF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Coahuila de Zaragoza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7173FBB2" w14:textId="04DFFEA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98BDDF8" w14:textId="203A3F1E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-2.5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5CF21C6" w14:textId="7594169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64F88FE" w14:textId="4D32D37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34472681" w14:textId="31E7D3A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vAlign w:val="center"/>
          </w:tcPr>
          <w:p w14:paraId="17080A57" w14:textId="25AF6976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-0.8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89CFF7A" w14:textId="556DABC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51326C" w:rsidRPr="00902E21" w14:paraId="5E512628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1E212829" w14:textId="5214CFD4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Colima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90E629D" w14:textId="0375E2F1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7EA2A4E" w14:textId="5C8FF2B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-2.2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D65C32F" w14:textId="19604FE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3FDBB8A" w14:textId="1EE5DB1C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8107254" w14:textId="73138F9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41E9E620" w14:textId="5079A76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9FEC826" w14:textId="661899F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1.1</w:t>
            </w:r>
          </w:p>
        </w:tc>
      </w:tr>
      <w:tr w:rsidR="0051326C" w:rsidRPr="00902E21" w14:paraId="10BAE396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6A31A9E4" w14:textId="0DA104D8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Chiapas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0E4F761C" w14:textId="7543916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972C154" w14:textId="3C2E32C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26F6CFC" w14:textId="535FAB3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7B4E599" w14:textId="1838B839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1D9078F" w14:textId="5300289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vAlign w:val="center"/>
          </w:tcPr>
          <w:p w14:paraId="19CC5EA5" w14:textId="4822FAE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E03BEC9" w14:textId="01016BE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1.1</w:t>
            </w:r>
          </w:p>
        </w:tc>
      </w:tr>
      <w:tr w:rsidR="0051326C" w:rsidRPr="00902E21" w14:paraId="20ECA994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6CB9BEAA" w14:textId="104248D9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Chihuahua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CD48369" w14:textId="59F1590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FC20C2A" w14:textId="1AF044FC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25989DE" w14:textId="0E93299A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00ABEA0" w14:textId="3EAFB94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73FC3B6" w14:textId="7664E6A9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4C8B2CDA" w14:textId="17F1CED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44407D0" w14:textId="3299DCA9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1.0</w:t>
            </w:r>
          </w:p>
        </w:tc>
      </w:tr>
      <w:tr w:rsidR="0051326C" w:rsidRPr="00902E21" w14:paraId="66B16979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323265A3" w14:textId="190142CA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Ciudad de México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5271F402" w14:textId="606C098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8AAC9BD" w14:textId="2BB7AC69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4B0A4FC5" w14:textId="405DFC7B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-0.5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5A318FF" w14:textId="70ABC75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3D02E613" w14:textId="090B011E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84" w:type="dxa"/>
            <w:vAlign w:val="center"/>
          </w:tcPr>
          <w:p w14:paraId="67F1D521" w14:textId="06368B7B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33412EE9" w14:textId="7591AE4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3.8</w:t>
            </w:r>
          </w:p>
        </w:tc>
      </w:tr>
      <w:tr w:rsidR="0051326C" w:rsidRPr="00902E21" w14:paraId="41BDA84D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3F283613" w14:textId="15E0BE02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Durango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4AF5F0E" w14:textId="69E61CD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6DE61FE" w14:textId="3BECE382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C62392C" w14:textId="09E0BAB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F38160A" w14:textId="0D6697D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5B25B4B" w14:textId="33DC5C97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2C55D418" w14:textId="27D8D0E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6652809" w14:textId="43D291F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2.7</w:t>
            </w:r>
          </w:p>
        </w:tc>
      </w:tr>
      <w:tr w:rsidR="0051326C" w:rsidRPr="00902E21" w14:paraId="69E3C1C7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23EE734E" w14:textId="4E9BA212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Guanajuato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0DCA4F4E" w14:textId="43A573A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5512041" w14:textId="3D52406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-1.8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344F2AF1" w14:textId="177DA9DB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C2F2469" w14:textId="4AE9E26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794A737" w14:textId="099EFA23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84" w:type="dxa"/>
            <w:vAlign w:val="center"/>
          </w:tcPr>
          <w:p w14:paraId="39E95DE1" w14:textId="32EEC21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3CDF9F01" w14:textId="0C98E119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1.6</w:t>
            </w:r>
          </w:p>
        </w:tc>
      </w:tr>
      <w:tr w:rsidR="0051326C" w:rsidRPr="00902E21" w14:paraId="0D2B59F9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618DD605" w14:textId="022792E2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95858C8" w14:textId="433AA35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D52B7C3" w14:textId="3B9A40F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9609C25" w14:textId="27BC13B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A52E4ED" w14:textId="754CF2D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9251564" w14:textId="240E595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0AA1A3FE" w14:textId="558609B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EB26722" w14:textId="122E8FCA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3.2</w:t>
            </w:r>
          </w:p>
        </w:tc>
      </w:tr>
      <w:tr w:rsidR="0051326C" w:rsidRPr="00902E21" w14:paraId="0A601F03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53275808" w14:textId="31D7E74D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Hidalgo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27691C0D" w14:textId="42D14B8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665DCD8" w14:textId="724AD8EC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-0.9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CD5EDD7" w14:textId="3C70CAF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611FA65" w14:textId="4E287CD1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ABFAB63" w14:textId="02493226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84" w:type="dxa"/>
            <w:vAlign w:val="center"/>
          </w:tcPr>
          <w:p w14:paraId="4FBE3594" w14:textId="4D159593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61EE5BC" w14:textId="501803F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2.0</w:t>
            </w:r>
          </w:p>
        </w:tc>
      </w:tr>
      <w:tr w:rsidR="0051326C" w:rsidRPr="00902E21" w14:paraId="6667CE67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24927508" w14:textId="405E1156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Jalisco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1A07D90" w14:textId="73CBE7E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4FDC5FF" w14:textId="708C9D0C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6A18275" w14:textId="5D71D99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D168C88" w14:textId="73B60013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51A28EE" w14:textId="282DC0E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-3.5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3EDEAE4A" w14:textId="7E4E3C4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7A0FF1D" w14:textId="1A6A576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51326C" w:rsidRPr="00902E21" w14:paraId="5447E47E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37664193" w14:textId="3C126E4C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México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68EE7D6A" w14:textId="2A1E302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04E439F" w14:textId="632A1A23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584E4C1" w14:textId="6139A5F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648B096" w14:textId="7BA14BEC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DAB1055" w14:textId="75EA9059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4" w:type="dxa"/>
            <w:vAlign w:val="center"/>
          </w:tcPr>
          <w:p w14:paraId="1748878D" w14:textId="42B08AA9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69E5C4E" w14:textId="09C457A1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1.9</w:t>
            </w:r>
          </w:p>
        </w:tc>
      </w:tr>
      <w:tr w:rsidR="0051326C" w:rsidRPr="00902E21" w14:paraId="3A03B670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65158C8A" w14:textId="780862BC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Michoacán de Ocampo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6BD7103" w14:textId="74C0BE7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CA542A1" w14:textId="21585C03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AF9D95A" w14:textId="55CEA52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E143ABF" w14:textId="73A2764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91E7E31" w14:textId="3AA0429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-5.2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0BF08063" w14:textId="312812C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1DBD83F" w14:textId="6965D175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1.6</w:t>
            </w:r>
          </w:p>
        </w:tc>
      </w:tr>
      <w:tr w:rsidR="0051326C" w:rsidRPr="00902E21" w14:paraId="724CF110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3B7AC074" w14:textId="54D09EEA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Morelos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6F35ECD7" w14:textId="626D4E99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2CBF7FC" w14:textId="166D416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5F52608" w14:textId="78724BD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8C0F68D" w14:textId="53D3EE30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DBF2A14" w14:textId="0465901E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-0.5</w:t>
            </w:r>
          </w:p>
        </w:tc>
        <w:tc>
          <w:tcPr>
            <w:tcW w:w="884" w:type="dxa"/>
            <w:vAlign w:val="center"/>
          </w:tcPr>
          <w:p w14:paraId="7AB1AFBC" w14:textId="475678DC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9BE3D92" w14:textId="5B675EF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-0.3</w:t>
            </w:r>
          </w:p>
        </w:tc>
      </w:tr>
      <w:tr w:rsidR="0051326C" w:rsidRPr="00902E21" w14:paraId="5EEF4986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0CC8E9A7" w14:textId="22FCFDBA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Nayarit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2B86272" w14:textId="5E9E8735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6A55A6C" w14:textId="02B5F6C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08AC51D" w14:textId="19C87002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6B8C83E" w14:textId="397DB60D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9E6E324" w14:textId="26BDD97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-0.7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28BFF55B" w14:textId="5C4D057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9A4B638" w14:textId="11D7B8D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-1.2</w:t>
            </w:r>
          </w:p>
        </w:tc>
      </w:tr>
      <w:tr w:rsidR="0051326C" w:rsidRPr="00902E21" w14:paraId="26C95A9F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1CE488F3" w14:textId="5D80EE21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Nuevo León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0666A201" w14:textId="363C45A6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A61BE08" w14:textId="4148CD1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2C3FF31" w14:textId="20F0D8C1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3421BCD0" w14:textId="52B81F1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D555262" w14:textId="7C8D409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84" w:type="dxa"/>
            <w:vAlign w:val="center"/>
          </w:tcPr>
          <w:p w14:paraId="5F42869A" w14:textId="51F3EA7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D46236A" w14:textId="1577FDE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2.1</w:t>
            </w:r>
          </w:p>
        </w:tc>
      </w:tr>
      <w:tr w:rsidR="0051326C" w:rsidRPr="00902E21" w14:paraId="488C7E51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15A659AF" w14:textId="38F73C55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Oaxaca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9CB52D6" w14:textId="7FD265A3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835A16C" w14:textId="45921979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C7EA997" w14:textId="10E8092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23CDB59" w14:textId="30B400F9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3B7C8D6" w14:textId="0496283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31667EF9" w14:textId="0F90FAE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CA09BF9" w14:textId="47F6499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4.4</w:t>
            </w:r>
          </w:p>
        </w:tc>
      </w:tr>
      <w:tr w:rsidR="0051326C" w:rsidRPr="00902E21" w14:paraId="547751AD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50D6C19E" w14:textId="1FD9DC6A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Puebla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59CE9C38" w14:textId="03E99BF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64BF7AB" w14:textId="3411E55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B694779" w14:textId="2D982FCB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0E79318" w14:textId="426E5BE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F02EB04" w14:textId="1EC7BE7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84" w:type="dxa"/>
            <w:vAlign w:val="center"/>
          </w:tcPr>
          <w:p w14:paraId="63F591D3" w14:textId="6FE30BD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DFED67E" w14:textId="7449EF73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0.1</w:t>
            </w:r>
          </w:p>
        </w:tc>
      </w:tr>
      <w:tr w:rsidR="0051326C" w:rsidRPr="00902E21" w14:paraId="6666690F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008532A4" w14:textId="24199FD5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Querétaro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0F47A6C" w14:textId="06157591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E094799" w14:textId="004BDE39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50C66B4" w14:textId="7998DA1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7CCC65F" w14:textId="77F2A234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5E2E478" w14:textId="3245A00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0D4BE96B" w14:textId="3417E443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C63A966" w14:textId="139CA407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2.8</w:t>
            </w:r>
          </w:p>
        </w:tc>
      </w:tr>
      <w:tr w:rsidR="0051326C" w:rsidRPr="00902E21" w14:paraId="6CE4C5EF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01D95316" w14:textId="602FDA67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Quintana Roo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09551AB5" w14:textId="26DA7DF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0EE4F93" w14:textId="271EDFF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16F7F40" w14:textId="6683F1C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D71A86E" w14:textId="6EDE7B30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-6.2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C577506" w14:textId="6828C6D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-7.1</w:t>
            </w:r>
          </w:p>
        </w:tc>
        <w:tc>
          <w:tcPr>
            <w:tcW w:w="884" w:type="dxa"/>
            <w:vAlign w:val="center"/>
          </w:tcPr>
          <w:p w14:paraId="0E27E171" w14:textId="7F61F1C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-2.0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2316B0D" w14:textId="6B86971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-1.7</w:t>
            </w:r>
          </w:p>
        </w:tc>
      </w:tr>
      <w:tr w:rsidR="0051326C" w:rsidRPr="00902E21" w14:paraId="358C8FE7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1F8A578A" w14:textId="7DC659AB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San Luis Potosí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94D0A66" w14:textId="3D6B000A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B94A68C" w14:textId="4CED507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0C62B3D" w14:textId="4735582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D75AFF4" w14:textId="64837EF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-1.3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6EC19F5" w14:textId="23ABEAA2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4AEFD219" w14:textId="15551535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AAC7837" w14:textId="7C1B493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1.4</w:t>
            </w:r>
          </w:p>
        </w:tc>
      </w:tr>
      <w:tr w:rsidR="0051326C" w:rsidRPr="00902E21" w14:paraId="09F6CE6C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6C79540D" w14:textId="562BCCA2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Sinaloa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059A6D57" w14:textId="695649A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0614467" w14:textId="2E546D9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E89D3D1" w14:textId="77FD6FEE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890062B" w14:textId="50BBE623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-3.0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849623C" w14:textId="53789D1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884" w:type="dxa"/>
            <w:vAlign w:val="center"/>
          </w:tcPr>
          <w:p w14:paraId="7B594FAB" w14:textId="5530378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24A5DA1" w14:textId="35D00A2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0.7</w:t>
            </w:r>
          </w:p>
        </w:tc>
      </w:tr>
      <w:tr w:rsidR="0051326C" w:rsidRPr="00902E21" w14:paraId="10F35656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5C59AC0C" w14:textId="766D6A22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Sonora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72A25A4" w14:textId="5E8D8041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6F30A41" w14:textId="757E18A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4DD14E3" w14:textId="01848CBF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07727EC" w14:textId="5518395A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643724F" w14:textId="1D5D13D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-0.6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6B1A4281" w14:textId="16CF758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-1.7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48517EA" w14:textId="2FDD7685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1.6</w:t>
            </w:r>
          </w:p>
        </w:tc>
      </w:tr>
      <w:tr w:rsidR="0051326C" w:rsidRPr="00902E21" w14:paraId="593F53CE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6243CB0D" w14:textId="6EE82986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Tabasco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5DD19932" w14:textId="5B8DF8E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4CEF0D72" w14:textId="7092C69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9E3B90A" w14:textId="49D9F87B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-4.3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03E7A52" w14:textId="4A1E6E4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-4.1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7E74C6A" w14:textId="0C7AAE8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-4.5</w:t>
            </w:r>
          </w:p>
        </w:tc>
        <w:tc>
          <w:tcPr>
            <w:tcW w:w="884" w:type="dxa"/>
            <w:vAlign w:val="center"/>
          </w:tcPr>
          <w:p w14:paraId="778B15F6" w14:textId="59875FF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7F6B7A4A" w14:textId="3979738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-3.5</w:t>
            </w:r>
          </w:p>
        </w:tc>
      </w:tr>
      <w:tr w:rsidR="0051326C" w:rsidRPr="00902E21" w14:paraId="1709AF6A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6D7EE777" w14:textId="74F1CFD7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Tamaulipas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882B412" w14:textId="7BBF71C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942E97D" w14:textId="7A7BD34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-2.3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70416CE" w14:textId="7B642BD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2EBD818" w14:textId="4CF3D9F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CCDE2D7" w14:textId="41FD8503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17B724E4" w14:textId="35E4AB58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1842EF2" w14:textId="208E0DFC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2.5</w:t>
            </w:r>
          </w:p>
        </w:tc>
      </w:tr>
      <w:tr w:rsidR="0051326C" w:rsidRPr="00902E21" w14:paraId="0AFD6CDC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699B4382" w14:textId="208C558C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Tlaxcala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0479AF71" w14:textId="42BA970E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4B4C3407" w14:textId="0B41BA99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-2.0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4574D04D" w14:textId="73A0302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2D67F90F" w14:textId="63637D2A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08CA7B2F" w14:textId="7AC594FD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4" w:type="dxa"/>
            <w:vAlign w:val="center"/>
          </w:tcPr>
          <w:p w14:paraId="22697561" w14:textId="08F19ADC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AE47F88" w14:textId="37CEA198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2.6</w:t>
            </w:r>
          </w:p>
        </w:tc>
      </w:tr>
      <w:tr w:rsidR="0051326C" w:rsidRPr="00902E21" w14:paraId="12923CA0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3745EF57" w14:textId="3DC399D6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Veracruz de Ignacio de la Llave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0FBB805" w14:textId="13F189F3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3CF625F" w14:textId="3445F5A3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5FDA615" w14:textId="7AED3731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ED97016" w14:textId="796B4FDA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6ADCA85" w14:textId="24E3648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-2.0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2B39BA9C" w14:textId="4294F632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43F1194" w14:textId="67B5C3DD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-1.7</w:t>
            </w:r>
          </w:p>
        </w:tc>
      </w:tr>
      <w:tr w:rsidR="0051326C" w:rsidRPr="00902E21" w14:paraId="3CB04EAE" w14:textId="77777777" w:rsidTr="00A96C87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noWrap/>
            <w:vAlign w:val="center"/>
            <w:hideMark/>
          </w:tcPr>
          <w:p w14:paraId="0F2C8225" w14:textId="6B80B66E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Yucatán</w:t>
            </w:r>
          </w:p>
        </w:tc>
        <w:tc>
          <w:tcPr>
            <w:tcW w:w="883" w:type="dxa"/>
            <w:noWrap/>
            <w:tcMar>
              <w:right w:w="57" w:type="dxa"/>
            </w:tcMar>
            <w:vAlign w:val="center"/>
          </w:tcPr>
          <w:p w14:paraId="39898BE0" w14:textId="43E38722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6CC7E052" w14:textId="0AC3EFDB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4AF5A2B9" w14:textId="19D5697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4C7073A4" w14:textId="2B3CE4CF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11112BA7" w14:textId="5A22B177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84" w:type="dxa"/>
            <w:vAlign w:val="center"/>
          </w:tcPr>
          <w:p w14:paraId="2A0F4BD8" w14:textId="7FFEFB04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84" w:type="dxa"/>
            <w:noWrap/>
            <w:tcMar>
              <w:right w:w="57" w:type="dxa"/>
            </w:tcMar>
            <w:vAlign w:val="center"/>
          </w:tcPr>
          <w:p w14:paraId="5AC46DAC" w14:textId="73F0D205" w:rsidR="0051326C" w:rsidRPr="0051326C" w:rsidRDefault="0051326C" w:rsidP="0051326C">
            <w:pPr>
              <w:ind w:right="25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3.4</w:t>
            </w:r>
          </w:p>
        </w:tc>
      </w:tr>
      <w:tr w:rsidR="0051326C" w:rsidRPr="00902E21" w14:paraId="21F4AA71" w14:textId="77777777" w:rsidTr="00A96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F2F2F2"/>
            <w:noWrap/>
            <w:vAlign w:val="center"/>
            <w:hideMark/>
          </w:tcPr>
          <w:p w14:paraId="52C731F7" w14:textId="77BFD52F" w:rsidR="0051326C" w:rsidRPr="0051326C" w:rsidRDefault="0051326C" w:rsidP="0051326C">
            <w:pPr>
              <w:ind w:left="113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1326C">
              <w:rPr>
                <w:b w:val="0"/>
                <w:bCs w:val="0"/>
                <w:color w:val="000000"/>
                <w:sz w:val="18"/>
                <w:szCs w:val="18"/>
              </w:rPr>
              <w:t>Zacatecas</w:t>
            </w:r>
          </w:p>
        </w:tc>
        <w:tc>
          <w:tcPr>
            <w:tcW w:w="883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ED4B8E2" w14:textId="1562702D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-3.5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1C57C04" w14:textId="7C762AD0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03344A0" w14:textId="5C555DCE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9DC772F" w14:textId="51FC8592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9D51460" w14:textId="5F9D14CB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74A75558" w14:textId="28339906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4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E7B7999" w14:textId="5E823685" w:rsidR="0051326C" w:rsidRPr="0051326C" w:rsidRDefault="0051326C" w:rsidP="0051326C">
            <w:pPr>
              <w:ind w:right="2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1326C">
              <w:rPr>
                <w:color w:val="000000"/>
                <w:sz w:val="18"/>
                <w:szCs w:val="18"/>
              </w:rPr>
              <w:t>0.6</w:t>
            </w:r>
          </w:p>
        </w:tc>
      </w:tr>
    </w:tbl>
    <w:bookmarkEnd w:id="2"/>
    <w:p w14:paraId="423B6BF2" w14:textId="44C2F5CD" w:rsidR="00507900" w:rsidRPr="0051326C" w:rsidRDefault="00507900" w:rsidP="002403DF">
      <w:pPr>
        <w:pStyle w:val="p0"/>
        <w:spacing w:before="0"/>
        <w:ind w:left="1021" w:rightChars="150" w:right="360" w:hanging="567"/>
        <w:jc w:val="left"/>
        <w:rPr>
          <w:rFonts w:ascii="Arial" w:hAnsi="Arial"/>
          <w:bCs/>
          <w:color w:val="4D565E"/>
          <w:sz w:val="16"/>
          <w:szCs w:val="16"/>
        </w:rPr>
      </w:pPr>
      <w:r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>1</w:t>
      </w:r>
      <w:r w:rsidR="00C90817"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>/</w:t>
      </w:r>
      <w:r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ab/>
      </w:r>
      <w:r w:rsidRPr="0051326C">
        <w:rPr>
          <w:rFonts w:ascii="Arial" w:hAnsi="Arial"/>
          <w:bCs/>
          <w:color w:val="4D565E"/>
          <w:sz w:val="16"/>
          <w:szCs w:val="16"/>
        </w:rPr>
        <w:t xml:space="preserve">Cifras </w:t>
      </w:r>
      <w:r w:rsidR="0051326C" w:rsidRPr="0051326C">
        <w:rPr>
          <w:rFonts w:ascii="Arial" w:hAnsi="Arial"/>
          <w:bCs/>
          <w:color w:val="4D565E"/>
          <w:sz w:val="16"/>
          <w:szCs w:val="16"/>
        </w:rPr>
        <w:t>revisadas</w:t>
      </w:r>
      <w:r w:rsidRPr="0051326C">
        <w:rPr>
          <w:rFonts w:ascii="Arial" w:hAnsi="Arial"/>
          <w:bCs/>
          <w:color w:val="4D565E"/>
          <w:sz w:val="16"/>
          <w:szCs w:val="16"/>
        </w:rPr>
        <w:t>.</w:t>
      </w:r>
    </w:p>
    <w:p w14:paraId="42739FCE" w14:textId="7971A4B2" w:rsidR="0051326C" w:rsidRPr="00F8183C" w:rsidRDefault="00B37291" w:rsidP="002403DF">
      <w:pPr>
        <w:pStyle w:val="p0"/>
        <w:spacing w:before="0"/>
        <w:ind w:left="1021" w:rightChars="150" w:right="360" w:hanging="567"/>
        <w:jc w:val="left"/>
        <w:rPr>
          <w:rFonts w:ascii="Arial" w:hAnsi="Arial"/>
          <w:bCs/>
          <w:color w:val="4D565E"/>
          <w:sz w:val="16"/>
          <w:szCs w:val="16"/>
        </w:rPr>
      </w:pPr>
      <w:r>
        <w:rPr>
          <w:rFonts w:ascii="Arial" w:hAnsi="Arial"/>
          <w:bCs/>
          <w:color w:val="4D565E"/>
          <w:sz w:val="16"/>
          <w:szCs w:val="16"/>
          <w:vertAlign w:val="superscript"/>
        </w:rPr>
        <w:t>2</w:t>
      </w:r>
      <w:r w:rsidR="0051326C"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>/</w:t>
      </w:r>
      <w:r w:rsidR="0051326C"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ab/>
      </w:r>
      <w:r w:rsidR="0051326C" w:rsidRPr="0051326C">
        <w:rPr>
          <w:rFonts w:ascii="Arial" w:hAnsi="Arial"/>
          <w:bCs/>
          <w:color w:val="4D565E"/>
          <w:sz w:val="16"/>
          <w:szCs w:val="16"/>
        </w:rPr>
        <w:t>Cifras preliminares.</w:t>
      </w:r>
    </w:p>
    <w:p w14:paraId="7CA8F3E8" w14:textId="07F48959" w:rsidR="00507900" w:rsidRPr="00F8183C" w:rsidRDefault="00507900" w:rsidP="002403DF">
      <w:pPr>
        <w:pStyle w:val="p0"/>
        <w:spacing w:before="0"/>
        <w:ind w:left="1021" w:rightChars="150" w:right="360" w:hanging="567"/>
        <w:rPr>
          <w:rFonts w:ascii="Arial" w:hAnsi="Arial"/>
          <w:bCs/>
          <w:color w:val="4D565E"/>
          <w:sz w:val="16"/>
          <w:szCs w:val="16"/>
        </w:rPr>
      </w:pPr>
      <w:r w:rsidRPr="00F8183C">
        <w:rPr>
          <w:rFonts w:ascii="Arial" w:hAnsi="Arial"/>
          <w:bCs/>
          <w:color w:val="4D565E"/>
          <w:sz w:val="16"/>
          <w:szCs w:val="16"/>
        </w:rPr>
        <w:t>Fuente</w:t>
      </w:r>
      <w:r w:rsidRPr="00F8183C">
        <w:rPr>
          <w:rFonts w:ascii="Arial" w:hAnsi="Arial"/>
          <w:bCs/>
          <w:smallCaps/>
          <w:color w:val="4D565E"/>
          <w:sz w:val="16"/>
          <w:szCs w:val="16"/>
        </w:rPr>
        <w:t>:</w:t>
      </w:r>
      <w:r w:rsidRPr="00F8183C">
        <w:rPr>
          <w:rFonts w:ascii="Arial" w:hAnsi="Arial"/>
          <w:bCs/>
          <w:smallCaps/>
          <w:color w:val="4D565E"/>
          <w:sz w:val="16"/>
          <w:szCs w:val="16"/>
        </w:rPr>
        <w:tab/>
        <w:t xml:space="preserve">inegi. </w:t>
      </w:r>
      <w:r w:rsidRPr="00F8183C">
        <w:rPr>
          <w:rFonts w:ascii="Arial" w:hAnsi="Arial"/>
          <w:bCs/>
          <w:color w:val="4D565E"/>
          <w:sz w:val="16"/>
          <w:szCs w:val="16"/>
        </w:rPr>
        <w:t>Sistema de Cuentas Nacionales de México (</w:t>
      </w:r>
      <w:r w:rsidRPr="00F8183C">
        <w:rPr>
          <w:rFonts w:ascii="Arial" w:hAnsi="Arial"/>
          <w:bCs/>
          <w:smallCaps/>
          <w:color w:val="4D565E"/>
          <w:sz w:val="16"/>
          <w:szCs w:val="16"/>
        </w:rPr>
        <w:t>scnm</w:t>
      </w:r>
      <w:r w:rsidRPr="00F8183C">
        <w:rPr>
          <w:rFonts w:ascii="Arial" w:hAnsi="Arial"/>
          <w:bCs/>
          <w:color w:val="4D565E"/>
          <w:sz w:val="16"/>
          <w:szCs w:val="16"/>
        </w:rPr>
        <w:t xml:space="preserve">). </w:t>
      </w:r>
      <w:r w:rsidRPr="00F8183C">
        <w:rPr>
          <w:rFonts w:ascii="Arial" w:hAnsi="Arial"/>
          <w:color w:val="4D565E"/>
          <w:sz w:val="16"/>
          <w:szCs w:val="16"/>
        </w:rPr>
        <w:t>Mediciones Trimestrales de los Puestos de Trabajo y sus Remuneraciones por Entidad Federativa</w:t>
      </w:r>
      <w:r w:rsidRPr="00F8183C">
        <w:rPr>
          <w:rFonts w:ascii="Arial" w:hAnsi="Arial"/>
          <w:bCs/>
          <w:smallCaps/>
          <w:color w:val="4D565E"/>
          <w:sz w:val="16"/>
          <w:szCs w:val="16"/>
        </w:rPr>
        <w:t xml:space="preserve"> (mtptref), </w:t>
      </w:r>
      <w:r w:rsidRPr="00F8183C">
        <w:rPr>
          <w:rFonts w:ascii="Arial" w:hAnsi="Arial"/>
          <w:bCs/>
          <w:color w:val="4D565E"/>
          <w:sz w:val="16"/>
          <w:szCs w:val="16"/>
        </w:rPr>
        <w:t>202</w:t>
      </w:r>
      <w:r w:rsidR="00F06568">
        <w:rPr>
          <w:rFonts w:ascii="Arial" w:hAnsi="Arial"/>
          <w:bCs/>
          <w:color w:val="4D565E"/>
          <w:sz w:val="16"/>
          <w:szCs w:val="16"/>
        </w:rPr>
        <w:t>5</w:t>
      </w:r>
      <w:r w:rsidRPr="00F8183C">
        <w:rPr>
          <w:rFonts w:ascii="Arial" w:hAnsi="Arial"/>
          <w:bCs/>
          <w:color w:val="4D565E"/>
          <w:sz w:val="16"/>
          <w:szCs w:val="16"/>
        </w:rPr>
        <w:t>.</w:t>
      </w:r>
    </w:p>
    <w:p w14:paraId="78A2190B" w14:textId="77777777" w:rsidR="00507900" w:rsidRDefault="00507900" w:rsidP="00507900">
      <w:pPr>
        <w:rPr>
          <w:szCs w:val="20"/>
        </w:rPr>
      </w:pPr>
      <w:r>
        <w:br w:type="page"/>
      </w:r>
    </w:p>
    <w:p w14:paraId="0E4E6D13" w14:textId="128E06C4" w:rsidR="00E75EA2" w:rsidRPr="007E5A79" w:rsidRDefault="00E75EA2" w:rsidP="004303B9">
      <w:pPr>
        <w:pStyle w:val="Textoindependiente21"/>
        <w:numPr>
          <w:ilvl w:val="12"/>
          <w:numId w:val="0"/>
        </w:numPr>
        <w:spacing w:before="0"/>
        <w:rPr>
          <w:bCs/>
          <w:color w:val="auto"/>
          <w:szCs w:val="28"/>
        </w:rPr>
      </w:pPr>
      <w:r w:rsidRPr="006F215C">
        <w:rPr>
          <w:color w:val="auto"/>
        </w:rPr>
        <w:lastRenderedPageBreak/>
        <w:t xml:space="preserve">Las entidades que contribuyeron en mayor medida a la </w:t>
      </w:r>
      <w:r w:rsidRPr="006F215C">
        <w:rPr>
          <w:bCs/>
          <w:color w:val="auto"/>
          <w:szCs w:val="28"/>
        </w:rPr>
        <w:t xml:space="preserve">variación </w:t>
      </w:r>
      <w:r w:rsidR="00AA6D3A" w:rsidRPr="006F215C">
        <w:rPr>
          <w:bCs/>
          <w:color w:val="auto"/>
          <w:szCs w:val="28"/>
        </w:rPr>
        <w:t xml:space="preserve">anual </w:t>
      </w:r>
      <w:r w:rsidRPr="006F215C">
        <w:rPr>
          <w:bCs/>
          <w:color w:val="auto"/>
          <w:szCs w:val="28"/>
        </w:rPr>
        <w:t xml:space="preserve">nacional de los puestos de trabajo remunerados </w:t>
      </w:r>
      <w:r w:rsidRPr="006F215C">
        <w:rPr>
          <w:color w:val="auto"/>
        </w:rPr>
        <w:t xml:space="preserve">fueron </w:t>
      </w:r>
      <w:r w:rsidR="00341612" w:rsidRPr="006F215C">
        <w:rPr>
          <w:color w:val="auto"/>
        </w:rPr>
        <w:t xml:space="preserve">Ciudad de México, </w:t>
      </w:r>
      <w:r w:rsidR="00674077" w:rsidRPr="006F215C">
        <w:rPr>
          <w:color w:val="auto"/>
        </w:rPr>
        <w:t xml:space="preserve">estado de México, </w:t>
      </w:r>
      <w:r w:rsidR="00341612" w:rsidRPr="006F215C">
        <w:rPr>
          <w:color w:val="auto"/>
        </w:rPr>
        <w:t>Nuevo León,</w:t>
      </w:r>
      <w:r w:rsidR="00674077" w:rsidRPr="006F215C">
        <w:rPr>
          <w:color w:val="auto"/>
        </w:rPr>
        <w:t xml:space="preserve"> Jalisco,</w:t>
      </w:r>
      <w:r w:rsidR="00341612" w:rsidRPr="006F215C">
        <w:rPr>
          <w:color w:val="auto"/>
        </w:rPr>
        <w:t xml:space="preserve"> </w:t>
      </w:r>
      <w:r w:rsidR="00674077" w:rsidRPr="006F215C">
        <w:rPr>
          <w:color w:val="auto"/>
        </w:rPr>
        <w:t xml:space="preserve">Oaxaca, Tamaulipas, </w:t>
      </w:r>
      <w:r w:rsidR="007E5A79" w:rsidRPr="006F215C">
        <w:rPr>
          <w:color w:val="auto"/>
        </w:rPr>
        <w:t>Guanajuato</w:t>
      </w:r>
      <w:r w:rsidR="00341612" w:rsidRPr="006F215C">
        <w:rPr>
          <w:color w:val="auto"/>
        </w:rPr>
        <w:t>,</w:t>
      </w:r>
      <w:r w:rsidR="00674077" w:rsidRPr="006F215C">
        <w:rPr>
          <w:color w:val="auto"/>
        </w:rPr>
        <w:t xml:space="preserve"> Baja California,</w:t>
      </w:r>
      <w:r w:rsidR="00341612" w:rsidRPr="006F215C">
        <w:rPr>
          <w:color w:val="auto"/>
        </w:rPr>
        <w:t xml:space="preserve"> </w:t>
      </w:r>
      <w:r w:rsidR="00674077" w:rsidRPr="006F215C">
        <w:rPr>
          <w:color w:val="auto"/>
        </w:rPr>
        <w:t xml:space="preserve">Guerrero, Yucatán y </w:t>
      </w:r>
      <w:r w:rsidR="007E5A79" w:rsidRPr="006F215C">
        <w:rPr>
          <w:color w:val="auto"/>
        </w:rPr>
        <w:t>Querétaro</w:t>
      </w:r>
      <w:r w:rsidR="00341612" w:rsidRPr="006F215C">
        <w:rPr>
          <w:color w:val="auto"/>
        </w:rPr>
        <w:t xml:space="preserve">. </w:t>
      </w:r>
      <w:r w:rsidRPr="006F215C">
        <w:rPr>
          <w:color w:val="auto"/>
        </w:rPr>
        <w:t>En</w:t>
      </w:r>
      <w:r w:rsidR="002403DF">
        <w:rPr>
          <w:color w:val="auto"/>
        </w:rPr>
        <w:t> </w:t>
      </w:r>
      <w:r w:rsidRPr="006F215C">
        <w:rPr>
          <w:color w:val="auto"/>
        </w:rPr>
        <w:t>conjunto, aportaron 1.</w:t>
      </w:r>
      <w:r w:rsidR="00674077" w:rsidRPr="006F215C">
        <w:rPr>
          <w:color w:val="auto"/>
        </w:rPr>
        <w:t>44</w:t>
      </w:r>
      <w:r w:rsidR="002E6077" w:rsidRPr="006F215C">
        <w:rPr>
          <w:color w:val="auto"/>
        </w:rPr>
        <w:t> </w:t>
      </w:r>
      <w:r w:rsidRPr="006F215C">
        <w:rPr>
          <w:color w:val="auto"/>
        </w:rPr>
        <w:t>puntos porcentuales a la variación nacional</w:t>
      </w:r>
      <w:r w:rsidR="00CA2199" w:rsidRPr="006F215C">
        <w:rPr>
          <w:color w:val="auto"/>
        </w:rPr>
        <w:t>,</w:t>
      </w:r>
      <w:r w:rsidRPr="006F215C">
        <w:rPr>
          <w:color w:val="auto"/>
        </w:rPr>
        <w:t xml:space="preserve"> en el trimestre de referencia</w:t>
      </w:r>
      <w:r w:rsidR="00674077" w:rsidRPr="006F215C">
        <w:rPr>
          <w:color w:val="auto"/>
        </w:rPr>
        <w:t xml:space="preserve"> </w:t>
      </w:r>
      <w:r w:rsidR="00A3244C" w:rsidRPr="006F215C">
        <w:rPr>
          <w:bCs/>
          <w:color w:val="auto"/>
          <w:szCs w:val="28"/>
        </w:rPr>
        <w:t>(ver gráfica 1).</w:t>
      </w:r>
      <w:r w:rsidRPr="007E5A79">
        <w:rPr>
          <w:color w:val="auto"/>
        </w:rPr>
        <w:t xml:space="preserve"> </w:t>
      </w:r>
    </w:p>
    <w:p w14:paraId="71BB303D" w14:textId="77777777" w:rsidR="00E75EA2" w:rsidRPr="00D05E60" w:rsidRDefault="00E75EA2" w:rsidP="0010330A">
      <w:pPr>
        <w:jc w:val="center"/>
        <w:rPr>
          <w:color w:val="4D565E"/>
          <w:sz w:val="20"/>
          <w:szCs w:val="20"/>
        </w:rPr>
      </w:pPr>
      <w:r w:rsidRPr="00D05E60">
        <w:rPr>
          <w:color w:val="4D565E"/>
          <w:sz w:val="20"/>
          <w:szCs w:val="20"/>
        </w:rPr>
        <w:t>Gráfica 1</w:t>
      </w:r>
    </w:p>
    <w:p w14:paraId="0A9E7D42" w14:textId="488BB4B8" w:rsidR="00E75EA2" w:rsidRPr="00D05E60" w:rsidRDefault="00BA75EE" w:rsidP="00A077B9">
      <w:pPr>
        <w:pStyle w:val="Titcuadrograf"/>
        <w:spacing w:line="240" w:lineRule="atLeast"/>
        <w:ind w:left="0"/>
        <w:rPr>
          <w:smallCaps w:val="0"/>
          <w:color w:val="003057"/>
          <w:sz w:val="22"/>
          <w:szCs w:val="22"/>
        </w:rPr>
      </w:pPr>
      <w:r w:rsidRPr="00D05E60">
        <w:rPr>
          <w:smallCaps w:val="0"/>
          <w:color w:val="003057"/>
          <w:sz w:val="22"/>
          <w:szCs w:val="22"/>
        </w:rPr>
        <w:t>V</w:t>
      </w:r>
      <w:r w:rsidR="00E75EA2" w:rsidRPr="00D05E60">
        <w:rPr>
          <w:smallCaps w:val="0"/>
          <w:color w:val="003057"/>
          <w:sz w:val="22"/>
          <w:szCs w:val="22"/>
        </w:rPr>
        <w:t>ariación y contribución anual</w:t>
      </w:r>
      <w:r w:rsidR="00A077B9" w:rsidRPr="00D05E60">
        <w:rPr>
          <w:smallCaps w:val="0"/>
          <w:color w:val="003057"/>
          <w:sz w:val="22"/>
          <w:szCs w:val="22"/>
        </w:rPr>
        <w:t xml:space="preserve"> </w:t>
      </w:r>
      <w:r w:rsidR="00E75EA2" w:rsidRPr="00D05E60">
        <w:rPr>
          <w:smallCaps w:val="0"/>
          <w:color w:val="003057"/>
          <w:sz w:val="22"/>
          <w:szCs w:val="22"/>
        </w:rPr>
        <w:t>de los puestos de trabajo remunerados</w:t>
      </w:r>
      <w:r w:rsidR="00A077B9" w:rsidRPr="00D05E60">
        <w:rPr>
          <w:smallCaps w:val="0"/>
          <w:color w:val="003057"/>
          <w:sz w:val="22"/>
          <w:szCs w:val="22"/>
        </w:rPr>
        <w:t>,</w:t>
      </w:r>
      <w:r w:rsidR="00E75EA2" w:rsidRPr="00D05E60">
        <w:rPr>
          <w:smallCaps w:val="0"/>
          <w:color w:val="003057"/>
          <w:sz w:val="22"/>
          <w:szCs w:val="22"/>
        </w:rPr>
        <w:t xml:space="preserve"> por entidad federativa</w:t>
      </w:r>
    </w:p>
    <w:p w14:paraId="7D380BC3" w14:textId="40D3CA26" w:rsidR="00E75EA2" w:rsidRPr="00F8183C" w:rsidRDefault="005514A5" w:rsidP="00E75EA2">
      <w:pPr>
        <w:pStyle w:val="Titcuadrograf"/>
        <w:spacing w:line="240" w:lineRule="atLeast"/>
        <w:ind w:left="0"/>
        <w:rPr>
          <w:b w:val="0"/>
          <w:bCs/>
          <w:smallCaps w:val="0"/>
          <w:color w:val="27251F"/>
          <w:sz w:val="20"/>
          <w:szCs w:val="20"/>
          <w:vertAlign w:val="superscript"/>
        </w:rPr>
      </w:pPr>
      <w:r w:rsidRPr="00D05E60">
        <w:rPr>
          <w:b w:val="0"/>
          <w:bCs/>
          <w:smallCaps w:val="0"/>
          <w:color w:val="27251F"/>
          <w:sz w:val="20"/>
          <w:szCs w:val="20"/>
        </w:rPr>
        <w:t>primer trimestre de 2025</w:t>
      </w:r>
      <w:r w:rsidR="004303B9" w:rsidRPr="00D05E60">
        <w:rPr>
          <w:b w:val="0"/>
          <w:bCs/>
          <w:smallCaps w:val="0"/>
          <w:color w:val="27251F"/>
          <w:position w:val="2"/>
          <w:sz w:val="20"/>
          <w:szCs w:val="20"/>
          <w:vertAlign w:val="superscript"/>
        </w:rPr>
        <w:t>1</w:t>
      </w:r>
      <w:r w:rsidR="00C90817" w:rsidRPr="00D05E60">
        <w:rPr>
          <w:b w:val="0"/>
          <w:bCs/>
          <w:smallCaps w:val="0"/>
          <w:color w:val="27251F"/>
          <w:position w:val="2"/>
          <w:sz w:val="20"/>
          <w:szCs w:val="20"/>
          <w:vertAlign w:val="superscript"/>
        </w:rPr>
        <w:t>/</w:t>
      </w:r>
    </w:p>
    <w:tbl>
      <w:tblPr>
        <w:tblStyle w:val="Tablaconcuadrcula"/>
        <w:tblW w:w="502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236"/>
        <w:gridCol w:w="4896"/>
      </w:tblGrid>
      <w:tr w:rsidR="00E008A2" w:rsidRPr="00E008A2" w14:paraId="62E0CC02" w14:textId="77777777" w:rsidTr="00D05E60">
        <w:trPr>
          <w:trHeight w:val="504"/>
          <w:jc w:val="center"/>
        </w:trPr>
        <w:tc>
          <w:tcPr>
            <w:tcW w:w="4892" w:type="dxa"/>
            <w:shd w:val="clear" w:color="auto" w:fill="F2F2F2"/>
            <w:vAlign w:val="center"/>
          </w:tcPr>
          <w:p w14:paraId="6A284048" w14:textId="5A8CFE5F" w:rsidR="00E75EA2" w:rsidRPr="00845C2B" w:rsidRDefault="00E75EA2" w:rsidP="00BA75EE">
            <w:pPr>
              <w:jc w:val="center"/>
              <w:rPr>
                <w:sz w:val="18"/>
                <w:szCs w:val="18"/>
              </w:rPr>
            </w:pPr>
            <w:bookmarkStart w:id="3" w:name="_Hlk190268957"/>
            <w:r w:rsidRPr="00CD766F">
              <w:rPr>
                <w:color w:val="27251F"/>
                <w:sz w:val="18"/>
                <w:szCs w:val="18"/>
              </w:rPr>
              <w:t xml:space="preserve">Variación porcentual respecto </w:t>
            </w:r>
            <w:r w:rsidRPr="00CD766F">
              <w:rPr>
                <w:color w:val="27251F"/>
                <w:sz w:val="18"/>
                <w:szCs w:val="18"/>
              </w:rPr>
              <w:br/>
              <w:t xml:space="preserve">al </w:t>
            </w:r>
            <w:r w:rsidR="004C7F5B">
              <w:rPr>
                <w:color w:val="27251F"/>
                <w:sz w:val="18"/>
                <w:szCs w:val="18"/>
              </w:rPr>
              <w:t>primer</w:t>
            </w:r>
            <w:r w:rsidR="00D206FF">
              <w:rPr>
                <w:color w:val="27251F"/>
                <w:sz w:val="18"/>
                <w:szCs w:val="18"/>
              </w:rPr>
              <w:t xml:space="preserve"> trimestre</w:t>
            </w:r>
            <w:r w:rsidRPr="00CD766F">
              <w:rPr>
                <w:color w:val="27251F"/>
                <w:sz w:val="18"/>
                <w:szCs w:val="18"/>
              </w:rPr>
              <w:t xml:space="preserve"> de 202</w:t>
            </w:r>
            <w:r w:rsidR="004C7F5B">
              <w:rPr>
                <w:color w:val="27251F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25370185" w14:textId="77777777" w:rsidR="00E75EA2" w:rsidRPr="00E008A2" w:rsidRDefault="00E75EA2" w:rsidP="00BA75EE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4896" w:type="dxa"/>
            <w:shd w:val="clear" w:color="auto" w:fill="F2F2F2"/>
            <w:vAlign w:val="center"/>
          </w:tcPr>
          <w:p w14:paraId="4A420C5B" w14:textId="53B6F46C" w:rsidR="00E75EA2" w:rsidRPr="00EA2FE2" w:rsidRDefault="00E75EA2" w:rsidP="00BA75EE">
            <w:pPr>
              <w:jc w:val="center"/>
              <w:rPr>
                <w:color w:val="27251F"/>
                <w:sz w:val="18"/>
                <w:szCs w:val="18"/>
              </w:rPr>
            </w:pPr>
            <w:r w:rsidRPr="00EA2FE2">
              <w:rPr>
                <w:bCs/>
                <w:color w:val="27251F"/>
                <w:sz w:val="18"/>
                <w:szCs w:val="18"/>
              </w:rPr>
              <w:t>Contribución a la variación anual nacional</w:t>
            </w:r>
            <w:r w:rsidR="004303B9" w:rsidRPr="00EA2FE2">
              <w:rPr>
                <w:bCs/>
                <w:color w:val="27251F"/>
                <w:position w:val="2"/>
                <w:sz w:val="18"/>
                <w:szCs w:val="18"/>
                <w:vertAlign w:val="superscript"/>
              </w:rPr>
              <w:t>2</w:t>
            </w:r>
            <w:r w:rsidR="00C90817" w:rsidRPr="00EA2FE2">
              <w:rPr>
                <w:bCs/>
                <w:color w:val="27251F"/>
                <w:position w:val="2"/>
                <w:sz w:val="18"/>
                <w:szCs w:val="18"/>
                <w:vertAlign w:val="superscript"/>
              </w:rPr>
              <w:t>/</w:t>
            </w:r>
          </w:p>
        </w:tc>
      </w:tr>
      <w:tr w:rsidR="00E008A2" w:rsidRPr="00E008A2" w14:paraId="148DABA1" w14:textId="77777777" w:rsidTr="00D05E60">
        <w:tblPrEx>
          <w:tblCellMar>
            <w:left w:w="70" w:type="dxa"/>
            <w:right w:w="70" w:type="dxa"/>
          </w:tblCellMar>
        </w:tblPrEx>
        <w:trPr>
          <w:trHeight w:hRule="exact" w:val="8750"/>
          <w:jc w:val="center"/>
        </w:trPr>
        <w:tc>
          <w:tcPr>
            <w:tcW w:w="4892" w:type="dxa"/>
            <w:vAlign w:val="center"/>
          </w:tcPr>
          <w:p w14:paraId="346CB607" w14:textId="1652CF43" w:rsidR="00E75EA2" w:rsidRPr="00E008A2" w:rsidRDefault="00D05E60" w:rsidP="00084F3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E6055A" wp14:editId="2D691A80">
                  <wp:extent cx="3077845" cy="5545455"/>
                  <wp:effectExtent l="0" t="0" r="0" b="0"/>
                  <wp:docPr id="1709301590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498FFC4A" w14:textId="77777777" w:rsidR="00E75EA2" w:rsidRPr="00E008A2" w:rsidRDefault="00E75EA2" w:rsidP="00084F34">
            <w:pPr>
              <w:jc w:val="center"/>
              <w:rPr>
                <w:noProof/>
              </w:rPr>
            </w:pPr>
          </w:p>
        </w:tc>
        <w:tc>
          <w:tcPr>
            <w:tcW w:w="4896" w:type="dxa"/>
            <w:vAlign w:val="center"/>
          </w:tcPr>
          <w:p w14:paraId="33CE833E" w14:textId="3CCD1CB4" w:rsidR="00E75EA2" w:rsidRPr="00E008A2" w:rsidRDefault="00D05E60" w:rsidP="00084F34">
            <w:pPr>
              <w:ind w:left="-69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D2EB60" wp14:editId="6AFFE943">
                  <wp:extent cx="3077845" cy="5545455"/>
                  <wp:effectExtent l="0" t="0" r="0" b="0"/>
                  <wp:docPr id="638170308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bookmarkEnd w:id="3"/>
    <w:p w14:paraId="19FE0B9E" w14:textId="162AEF0D" w:rsidR="00E75EA2" w:rsidRPr="00A3244C" w:rsidRDefault="004303B9" w:rsidP="002E5368">
      <w:pPr>
        <w:pStyle w:val="p0"/>
        <w:keepLines w:val="0"/>
        <w:spacing w:before="0"/>
        <w:ind w:left="728" w:right="35" w:hanging="616"/>
        <w:rPr>
          <w:rFonts w:ascii="Arial" w:hAnsi="Arial"/>
          <w:bCs/>
          <w:color w:val="4D565E"/>
          <w:sz w:val="16"/>
          <w:szCs w:val="16"/>
        </w:rPr>
      </w:pPr>
      <w:r w:rsidRPr="00A3244C">
        <w:rPr>
          <w:rFonts w:ascii="Arial" w:hAnsi="Arial"/>
          <w:bCs/>
          <w:color w:val="4D565E"/>
          <w:sz w:val="16"/>
          <w:szCs w:val="16"/>
          <w:vertAlign w:val="superscript"/>
        </w:rPr>
        <w:t>1</w:t>
      </w:r>
      <w:r w:rsidR="00C90817" w:rsidRPr="00A3244C">
        <w:rPr>
          <w:rFonts w:ascii="Arial" w:hAnsi="Arial"/>
          <w:bCs/>
          <w:color w:val="4D565E"/>
          <w:sz w:val="16"/>
          <w:szCs w:val="16"/>
          <w:vertAlign w:val="superscript"/>
        </w:rPr>
        <w:t>/</w:t>
      </w:r>
      <w:r w:rsidR="00E75EA2" w:rsidRPr="00A3244C">
        <w:rPr>
          <w:rFonts w:ascii="Arial" w:hAnsi="Arial"/>
          <w:bCs/>
          <w:color w:val="4D565E"/>
          <w:sz w:val="16"/>
          <w:szCs w:val="16"/>
        </w:rPr>
        <w:tab/>
        <w:t>Cifras preliminares.</w:t>
      </w:r>
    </w:p>
    <w:p w14:paraId="421074DB" w14:textId="4D9E79E4" w:rsidR="00E75EA2" w:rsidRPr="00A3244C" w:rsidRDefault="004303B9" w:rsidP="002E5368">
      <w:pPr>
        <w:pStyle w:val="p0"/>
        <w:keepLines w:val="0"/>
        <w:spacing w:before="0"/>
        <w:ind w:left="728" w:right="35" w:hanging="616"/>
        <w:rPr>
          <w:rFonts w:ascii="Arial" w:hAnsi="Arial"/>
          <w:bCs/>
          <w:color w:val="4D565E"/>
          <w:spacing w:val="-2"/>
          <w:sz w:val="16"/>
          <w:szCs w:val="16"/>
        </w:rPr>
      </w:pPr>
      <w:r w:rsidRPr="00A3244C">
        <w:rPr>
          <w:rFonts w:ascii="Arial" w:hAnsi="Arial"/>
          <w:bCs/>
          <w:color w:val="4D565E"/>
          <w:spacing w:val="-2"/>
          <w:sz w:val="16"/>
          <w:szCs w:val="16"/>
          <w:vertAlign w:val="superscript"/>
        </w:rPr>
        <w:t>2</w:t>
      </w:r>
      <w:r w:rsidR="00C90817" w:rsidRPr="00A3244C">
        <w:rPr>
          <w:rFonts w:ascii="Arial" w:hAnsi="Arial"/>
          <w:bCs/>
          <w:color w:val="4D565E"/>
          <w:spacing w:val="-2"/>
          <w:sz w:val="16"/>
          <w:szCs w:val="16"/>
          <w:vertAlign w:val="superscript"/>
        </w:rPr>
        <w:t>/</w:t>
      </w:r>
      <w:r w:rsidR="00E75EA2" w:rsidRPr="00A3244C">
        <w:rPr>
          <w:rFonts w:ascii="Arial" w:hAnsi="Arial"/>
          <w:bCs/>
          <w:color w:val="4D565E"/>
          <w:spacing w:val="-2"/>
          <w:sz w:val="16"/>
          <w:szCs w:val="16"/>
        </w:rPr>
        <w:tab/>
        <w:t>Las contribuciones se obtienen ponderando las tasas de crecimiento con la participación que cada estado tiene en el indicador total.</w:t>
      </w:r>
    </w:p>
    <w:p w14:paraId="0C5FC1D7" w14:textId="621056D2" w:rsidR="00B82B17" w:rsidRPr="00A3244C" w:rsidRDefault="00E75EA2" w:rsidP="002E5368">
      <w:pPr>
        <w:pStyle w:val="p0"/>
        <w:keepLines w:val="0"/>
        <w:spacing w:before="0"/>
        <w:ind w:left="728" w:right="35" w:hanging="616"/>
        <w:rPr>
          <w:rFonts w:ascii="Arial" w:hAnsi="Arial"/>
          <w:bCs/>
          <w:color w:val="4D565E"/>
          <w:sz w:val="16"/>
          <w:szCs w:val="16"/>
        </w:rPr>
      </w:pPr>
      <w:r w:rsidRPr="00A3244C">
        <w:rPr>
          <w:rFonts w:ascii="Arial" w:hAnsi="Arial"/>
          <w:bCs/>
          <w:color w:val="4D565E"/>
          <w:sz w:val="16"/>
          <w:szCs w:val="16"/>
        </w:rPr>
        <w:t>Fuente:</w:t>
      </w:r>
      <w:r w:rsidRPr="00A3244C">
        <w:rPr>
          <w:rFonts w:ascii="Arial" w:hAnsi="Arial"/>
          <w:bCs/>
          <w:color w:val="4D565E"/>
          <w:sz w:val="16"/>
          <w:szCs w:val="16"/>
        </w:rPr>
        <w:tab/>
      </w:r>
      <w:r w:rsidRPr="00A3244C">
        <w:rPr>
          <w:rFonts w:ascii="Arial" w:hAnsi="Arial"/>
          <w:bCs/>
          <w:smallCaps/>
          <w:color w:val="4D565E"/>
          <w:sz w:val="16"/>
          <w:szCs w:val="16"/>
        </w:rPr>
        <w:t>inegi.</w:t>
      </w:r>
      <w:r w:rsidRPr="00A3244C">
        <w:rPr>
          <w:rFonts w:ascii="Arial" w:hAnsi="Arial"/>
          <w:bCs/>
          <w:color w:val="4D565E"/>
          <w:sz w:val="16"/>
          <w:szCs w:val="16"/>
        </w:rPr>
        <w:t xml:space="preserve"> Sistema de Cuentas Nacionales de México </w:t>
      </w:r>
      <w:r w:rsidRPr="00A3244C">
        <w:rPr>
          <w:rFonts w:ascii="Arial" w:hAnsi="Arial"/>
          <w:bCs/>
          <w:smallCaps/>
          <w:color w:val="4D565E"/>
          <w:sz w:val="16"/>
          <w:szCs w:val="16"/>
        </w:rPr>
        <w:t xml:space="preserve">(scnm). </w:t>
      </w:r>
      <w:r w:rsidRPr="00A3244C">
        <w:rPr>
          <w:rFonts w:ascii="Arial" w:hAnsi="Arial"/>
          <w:bCs/>
          <w:color w:val="4D565E"/>
          <w:sz w:val="16"/>
          <w:szCs w:val="16"/>
        </w:rPr>
        <w:t xml:space="preserve">Mediciones Trimestrales de los Puestos de Trabajo y sus Remuneraciones por Entidad Federativa </w:t>
      </w:r>
      <w:r w:rsidRPr="00A3244C">
        <w:rPr>
          <w:rFonts w:ascii="Arial" w:hAnsi="Arial"/>
          <w:bCs/>
          <w:smallCaps/>
          <w:color w:val="4D565E"/>
          <w:sz w:val="16"/>
          <w:szCs w:val="16"/>
        </w:rPr>
        <w:t>(mtptref)</w:t>
      </w:r>
      <w:r w:rsidRPr="00A3244C">
        <w:rPr>
          <w:rFonts w:ascii="Arial" w:hAnsi="Arial"/>
          <w:bCs/>
          <w:color w:val="4D565E"/>
          <w:sz w:val="16"/>
          <w:szCs w:val="16"/>
        </w:rPr>
        <w:t>, 202</w:t>
      </w:r>
      <w:r w:rsidR="003D416B">
        <w:rPr>
          <w:rFonts w:ascii="Arial" w:hAnsi="Arial"/>
          <w:bCs/>
          <w:color w:val="4D565E"/>
          <w:sz w:val="16"/>
          <w:szCs w:val="16"/>
        </w:rPr>
        <w:t>5</w:t>
      </w:r>
      <w:r w:rsidRPr="00A3244C">
        <w:rPr>
          <w:rFonts w:ascii="Arial" w:hAnsi="Arial"/>
          <w:bCs/>
          <w:color w:val="4D565E"/>
          <w:sz w:val="16"/>
          <w:szCs w:val="16"/>
        </w:rPr>
        <w:t>.</w:t>
      </w:r>
    </w:p>
    <w:p w14:paraId="43BBC480" w14:textId="6694CFAB" w:rsidR="004303B9" w:rsidRPr="00A3244C" w:rsidRDefault="00A3244C" w:rsidP="00B37291">
      <w:pPr>
        <w:jc w:val="center"/>
        <w:rPr>
          <w:b/>
          <w:bCs/>
          <w:smallCaps/>
          <w:sz w:val="26"/>
          <w:szCs w:val="26"/>
          <w:lang w:val="es-MX"/>
        </w:rPr>
      </w:pPr>
      <w:r w:rsidRPr="00A3244C">
        <w:rPr>
          <w:b/>
          <w:bCs/>
          <w:smallCaps/>
          <w:sz w:val="26"/>
          <w:szCs w:val="26"/>
        </w:rPr>
        <w:lastRenderedPageBreak/>
        <w:t>ii</w:t>
      </w:r>
      <w:r w:rsidRPr="00A3244C">
        <w:rPr>
          <w:b/>
          <w:bCs/>
          <w:smallCaps/>
          <w:sz w:val="26"/>
          <w:szCs w:val="26"/>
          <w:lang w:val="es-MX"/>
        </w:rPr>
        <w:t xml:space="preserve">. </w:t>
      </w:r>
      <w:r w:rsidR="004303B9" w:rsidRPr="00A3244C">
        <w:rPr>
          <w:b/>
          <w:bCs/>
          <w:smallCaps/>
          <w:sz w:val="26"/>
          <w:szCs w:val="26"/>
          <w:lang w:val="es-MX"/>
        </w:rPr>
        <w:t>remuneraciones de las personas asalariadas</w:t>
      </w:r>
    </w:p>
    <w:p w14:paraId="22D5F8FC" w14:textId="768D9E1F" w:rsidR="004303B9" w:rsidRPr="006F215C" w:rsidRDefault="004303B9" w:rsidP="00B37291">
      <w:pPr>
        <w:pStyle w:val="Textoindependiente21"/>
        <w:keepNext/>
        <w:keepLines/>
        <w:numPr>
          <w:ilvl w:val="12"/>
          <w:numId w:val="0"/>
        </w:numPr>
        <w:spacing w:before="80"/>
        <w:rPr>
          <w:color w:val="auto"/>
        </w:rPr>
      </w:pPr>
      <w:r w:rsidRPr="006F215C">
        <w:rPr>
          <w:color w:val="auto"/>
        </w:rPr>
        <w:t>Las remuneraciones de los asalariados</w:t>
      </w:r>
      <w:r w:rsidR="00387CBB" w:rsidRPr="006F215C">
        <w:rPr>
          <w:color w:val="auto"/>
        </w:rPr>
        <w:t>,</w:t>
      </w:r>
      <w:r w:rsidRPr="006F215C">
        <w:rPr>
          <w:color w:val="auto"/>
        </w:rPr>
        <w:t xml:space="preserve"> durante el </w:t>
      </w:r>
      <w:r w:rsidR="005514A5" w:rsidRPr="006F215C">
        <w:rPr>
          <w:color w:val="auto"/>
        </w:rPr>
        <w:t>primer trimestre de 2025</w:t>
      </w:r>
      <w:r w:rsidR="00387CBB" w:rsidRPr="006F215C">
        <w:rPr>
          <w:color w:val="auto"/>
        </w:rPr>
        <w:t>,</w:t>
      </w:r>
      <w:r w:rsidRPr="006F215C">
        <w:rPr>
          <w:color w:val="auto"/>
        </w:rPr>
        <w:t xml:space="preserve"> </w:t>
      </w:r>
      <w:r w:rsidR="00FC424A" w:rsidRPr="006F215C">
        <w:rPr>
          <w:color w:val="auto"/>
        </w:rPr>
        <w:t>ascendieron</w:t>
      </w:r>
      <w:r w:rsidRPr="006F215C">
        <w:rPr>
          <w:color w:val="auto"/>
        </w:rPr>
        <w:t xml:space="preserve"> a</w:t>
      </w:r>
      <w:r w:rsidR="00674077" w:rsidRPr="006F215C">
        <w:rPr>
          <w:color w:val="auto"/>
        </w:rPr>
        <w:t xml:space="preserve"> 9 630 947</w:t>
      </w:r>
      <w:r w:rsidR="007A2B18" w:rsidRPr="006F215C">
        <w:rPr>
          <w:color w:val="auto"/>
        </w:rPr>
        <w:t> </w:t>
      </w:r>
      <w:r w:rsidRPr="006F215C">
        <w:rPr>
          <w:color w:val="auto"/>
        </w:rPr>
        <w:t xml:space="preserve">millones de pesos corrientes: </w:t>
      </w:r>
      <w:r w:rsidR="00BF1024" w:rsidRPr="006F215C">
        <w:rPr>
          <w:color w:val="auto"/>
        </w:rPr>
        <w:t xml:space="preserve">presentaron </w:t>
      </w:r>
      <w:r w:rsidRPr="006F215C">
        <w:rPr>
          <w:color w:val="auto"/>
        </w:rPr>
        <w:t xml:space="preserve">un crecimiento anual de </w:t>
      </w:r>
      <w:r w:rsidR="0010330A" w:rsidRPr="006F215C">
        <w:rPr>
          <w:color w:val="auto"/>
        </w:rPr>
        <w:t>6</w:t>
      </w:r>
      <w:r w:rsidR="007A2B18" w:rsidRPr="006F215C">
        <w:rPr>
          <w:color w:val="auto"/>
        </w:rPr>
        <w:t>.1 </w:t>
      </w:r>
      <w:r w:rsidRPr="006F215C">
        <w:rPr>
          <w:color w:val="auto"/>
        </w:rPr>
        <w:t>por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 xml:space="preserve">ciento. Las entidades federativas que </w:t>
      </w:r>
      <w:r w:rsidR="003A73BF" w:rsidRPr="006F215C">
        <w:rPr>
          <w:color w:val="auto"/>
        </w:rPr>
        <w:t xml:space="preserve">registraron las mayores alzas </w:t>
      </w:r>
      <w:r w:rsidRPr="006F215C">
        <w:rPr>
          <w:color w:val="auto"/>
        </w:rPr>
        <w:t>fueron</w:t>
      </w:r>
      <w:r w:rsidR="00E43533" w:rsidRPr="006F215C">
        <w:rPr>
          <w:color w:val="auto"/>
        </w:rPr>
        <w:t xml:space="preserve"> las siguientes:</w:t>
      </w:r>
      <w:r w:rsidR="00BF1C8E" w:rsidRPr="006F215C">
        <w:rPr>
          <w:color w:val="auto"/>
        </w:rPr>
        <w:t xml:space="preserve"> </w:t>
      </w:r>
      <w:r w:rsidR="00545BA6" w:rsidRPr="006F215C">
        <w:rPr>
          <w:color w:val="auto"/>
        </w:rPr>
        <w:t>Oaxaca</w:t>
      </w:r>
      <w:r w:rsidR="003C1040">
        <w:rPr>
          <w:szCs w:val="24"/>
        </w:rPr>
        <w:t> </w:t>
      </w:r>
      <w:r w:rsidRPr="006F215C">
        <w:rPr>
          <w:color w:val="auto"/>
        </w:rPr>
        <w:t>(</w:t>
      </w:r>
      <w:r w:rsidR="00204E21" w:rsidRPr="006F215C">
        <w:rPr>
          <w:color w:val="auto"/>
        </w:rPr>
        <w:t>1</w:t>
      </w:r>
      <w:r w:rsidR="00545BA6" w:rsidRPr="006F215C">
        <w:rPr>
          <w:color w:val="auto"/>
        </w:rPr>
        <w:t>2.7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 xml:space="preserve">%), </w:t>
      </w:r>
      <w:r w:rsidR="00545BA6" w:rsidRPr="006F215C">
        <w:rPr>
          <w:color w:val="auto"/>
        </w:rPr>
        <w:t xml:space="preserve">Yucatán </w:t>
      </w:r>
      <w:r w:rsidRPr="006F215C">
        <w:rPr>
          <w:color w:val="auto"/>
        </w:rPr>
        <w:t>(</w:t>
      </w:r>
      <w:r w:rsidR="00545BA6" w:rsidRPr="006F215C">
        <w:rPr>
          <w:color w:val="auto"/>
        </w:rPr>
        <w:t>9.5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>%),</w:t>
      </w:r>
      <w:r w:rsidR="00865D80" w:rsidRPr="006F215C">
        <w:rPr>
          <w:color w:val="auto"/>
        </w:rPr>
        <w:t xml:space="preserve"> </w:t>
      </w:r>
      <w:r w:rsidR="00545BA6" w:rsidRPr="006F215C">
        <w:rPr>
          <w:color w:val="auto"/>
        </w:rPr>
        <w:t>Hidalgo</w:t>
      </w:r>
      <w:r w:rsidR="00204E21" w:rsidRPr="006F215C">
        <w:rPr>
          <w:color w:val="auto"/>
        </w:rPr>
        <w:t xml:space="preserve"> (</w:t>
      </w:r>
      <w:r w:rsidR="00545BA6" w:rsidRPr="006F215C">
        <w:rPr>
          <w:color w:val="auto"/>
        </w:rPr>
        <w:t>8</w:t>
      </w:r>
      <w:r w:rsidR="00204E21" w:rsidRPr="006F215C">
        <w:rPr>
          <w:color w:val="auto"/>
        </w:rPr>
        <w:t>.</w:t>
      </w:r>
      <w:r w:rsidR="00865D80" w:rsidRPr="006F215C">
        <w:rPr>
          <w:color w:val="auto"/>
        </w:rPr>
        <w:t>9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 xml:space="preserve">%), </w:t>
      </w:r>
      <w:r w:rsidR="00545BA6" w:rsidRPr="006F215C">
        <w:rPr>
          <w:color w:val="auto"/>
        </w:rPr>
        <w:t>Aguascalientes</w:t>
      </w:r>
      <w:r w:rsidR="00204E21" w:rsidRPr="006F215C">
        <w:rPr>
          <w:color w:val="auto"/>
        </w:rPr>
        <w:t xml:space="preserve"> </w:t>
      </w:r>
      <w:r w:rsidRPr="006F215C">
        <w:rPr>
          <w:color w:val="auto"/>
        </w:rPr>
        <w:t>(</w:t>
      </w:r>
      <w:r w:rsidR="00545BA6" w:rsidRPr="006F215C">
        <w:rPr>
          <w:color w:val="auto"/>
        </w:rPr>
        <w:t>8.5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>%)</w:t>
      </w:r>
      <w:r w:rsidR="00865D80" w:rsidRPr="006F215C">
        <w:rPr>
          <w:color w:val="auto"/>
        </w:rPr>
        <w:t xml:space="preserve">, </w:t>
      </w:r>
      <w:r w:rsidR="00545BA6" w:rsidRPr="006F215C">
        <w:rPr>
          <w:color w:val="auto"/>
        </w:rPr>
        <w:t>Tlaxcala</w:t>
      </w:r>
      <w:r w:rsidR="003C1040">
        <w:rPr>
          <w:szCs w:val="24"/>
        </w:rPr>
        <w:t> </w:t>
      </w:r>
      <w:r w:rsidR="00865D80" w:rsidRPr="006F215C">
        <w:rPr>
          <w:color w:val="auto"/>
        </w:rPr>
        <w:t>(8</w:t>
      </w:r>
      <w:r w:rsidR="00545BA6" w:rsidRPr="006F215C">
        <w:rPr>
          <w:color w:val="auto"/>
        </w:rPr>
        <w:t>.4</w:t>
      </w:r>
      <w:r w:rsidR="00BF1C8E" w:rsidRPr="006F215C">
        <w:rPr>
          <w:color w:val="auto"/>
        </w:rPr>
        <w:t> </w:t>
      </w:r>
      <w:r w:rsidR="00865D80" w:rsidRPr="006F215C">
        <w:rPr>
          <w:color w:val="auto"/>
        </w:rPr>
        <w:t xml:space="preserve">%), </w:t>
      </w:r>
      <w:r w:rsidR="00545BA6" w:rsidRPr="006F215C">
        <w:rPr>
          <w:color w:val="auto"/>
        </w:rPr>
        <w:t xml:space="preserve">Guerrero </w:t>
      </w:r>
      <w:r w:rsidR="00865D80" w:rsidRPr="006F215C">
        <w:rPr>
          <w:color w:val="auto"/>
        </w:rPr>
        <w:t>(</w:t>
      </w:r>
      <w:r w:rsidR="00545BA6" w:rsidRPr="006F215C">
        <w:rPr>
          <w:color w:val="auto"/>
        </w:rPr>
        <w:t>8.3</w:t>
      </w:r>
      <w:r w:rsidR="00BF1C8E" w:rsidRPr="006F215C">
        <w:rPr>
          <w:color w:val="auto"/>
        </w:rPr>
        <w:t> </w:t>
      </w:r>
      <w:r w:rsidR="00865D80" w:rsidRPr="006F215C">
        <w:rPr>
          <w:color w:val="auto"/>
        </w:rPr>
        <w:t>%)</w:t>
      </w:r>
      <w:r w:rsidR="00545BA6" w:rsidRPr="006F215C">
        <w:rPr>
          <w:color w:val="auto"/>
        </w:rPr>
        <w:t xml:space="preserve">, Ciudad de México (8.2 %) y </w:t>
      </w:r>
      <w:r w:rsidR="00865D80" w:rsidRPr="006F215C">
        <w:rPr>
          <w:color w:val="auto"/>
        </w:rPr>
        <w:t xml:space="preserve">Querétaro </w:t>
      </w:r>
      <w:r w:rsidRPr="006F215C">
        <w:rPr>
          <w:color w:val="auto"/>
        </w:rPr>
        <w:t>(</w:t>
      </w:r>
      <w:r w:rsidR="00545BA6" w:rsidRPr="006F215C">
        <w:rPr>
          <w:color w:val="auto"/>
        </w:rPr>
        <w:t>8.0</w:t>
      </w:r>
      <w:r w:rsidR="00BF1C8E" w:rsidRPr="006F215C">
        <w:rPr>
          <w:color w:val="auto"/>
        </w:rPr>
        <w:t> </w:t>
      </w:r>
      <w:r w:rsidRPr="006F215C">
        <w:rPr>
          <w:color w:val="auto"/>
        </w:rPr>
        <w:t>%)</w:t>
      </w:r>
      <w:r w:rsidR="00A3244C" w:rsidRPr="006F215C">
        <w:rPr>
          <w:color w:val="auto"/>
        </w:rPr>
        <w:t>. (Ver cuadro 2).</w:t>
      </w:r>
    </w:p>
    <w:p w14:paraId="587CF263" w14:textId="77777777" w:rsidR="00BD0652" w:rsidRPr="006F215C" w:rsidRDefault="00BD0652" w:rsidP="00B37291">
      <w:pPr>
        <w:spacing w:before="120"/>
        <w:jc w:val="center"/>
        <w:rPr>
          <w:color w:val="4D565E"/>
          <w:sz w:val="20"/>
          <w:szCs w:val="20"/>
        </w:rPr>
      </w:pPr>
      <w:bookmarkStart w:id="4" w:name="_Hlk71806267"/>
      <w:r w:rsidRPr="006F215C">
        <w:rPr>
          <w:color w:val="4D565E"/>
          <w:sz w:val="20"/>
          <w:szCs w:val="20"/>
        </w:rPr>
        <w:t>Cuadro 2</w:t>
      </w:r>
    </w:p>
    <w:p w14:paraId="4C6B9DB3" w14:textId="0B88CA11" w:rsidR="00BD0652" w:rsidRPr="006F215C" w:rsidRDefault="00BA75EE" w:rsidP="00BD0652">
      <w:pPr>
        <w:pStyle w:val="Titcuadrograf"/>
        <w:ind w:left="0"/>
        <w:rPr>
          <w:smallCaps w:val="0"/>
          <w:color w:val="003057"/>
          <w:sz w:val="22"/>
          <w:szCs w:val="22"/>
        </w:rPr>
      </w:pPr>
      <w:r w:rsidRPr="006F215C">
        <w:rPr>
          <w:smallCaps w:val="0"/>
          <w:color w:val="003057"/>
          <w:sz w:val="22"/>
          <w:szCs w:val="22"/>
        </w:rPr>
        <w:t>V</w:t>
      </w:r>
      <w:r w:rsidR="00BD0652" w:rsidRPr="006F215C">
        <w:rPr>
          <w:smallCaps w:val="0"/>
          <w:color w:val="003057"/>
          <w:sz w:val="22"/>
          <w:szCs w:val="22"/>
        </w:rPr>
        <w:t xml:space="preserve">ariación de las remuneraciones </w:t>
      </w:r>
      <w:bookmarkEnd w:id="4"/>
      <w:r w:rsidR="00BD0652" w:rsidRPr="006F215C">
        <w:rPr>
          <w:smallCaps w:val="0"/>
          <w:color w:val="003057"/>
          <w:sz w:val="22"/>
          <w:szCs w:val="22"/>
        </w:rPr>
        <w:t>de los asalariados por entidad federativa</w:t>
      </w:r>
    </w:p>
    <w:p w14:paraId="2CE84AB1" w14:textId="728030F5" w:rsidR="00DF7F69" w:rsidRPr="006F215C" w:rsidRDefault="00DF7F69" w:rsidP="00DF7F69">
      <w:pPr>
        <w:jc w:val="center"/>
        <w:rPr>
          <w:b/>
          <w:bCs/>
          <w:smallCaps/>
          <w:color w:val="27251F"/>
          <w:sz w:val="20"/>
          <w:szCs w:val="20"/>
          <w:vertAlign w:val="superscript"/>
        </w:rPr>
      </w:pPr>
      <w:r w:rsidRPr="006F215C">
        <w:rPr>
          <w:bCs/>
          <w:color w:val="27251F"/>
          <w:sz w:val="20"/>
          <w:szCs w:val="20"/>
          <w:lang w:eastAsia="es-MX"/>
        </w:rPr>
        <w:t>202</w:t>
      </w:r>
      <w:r w:rsidR="002403DF">
        <w:rPr>
          <w:bCs/>
          <w:color w:val="27251F"/>
          <w:sz w:val="20"/>
          <w:szCs w:val="20"/>
          <w:lang w:eastAsia="es-MX"/>
        </w:rPr>
        <w:t>3</w:t>
      </w:r>
      <w:r w:rsidRPr="006F215C">
        <w:rPr>
          <w:bCs/>
          <w:color w:val="27251F"/>
          <w:sz w:val="20"/>
          <w:szCs w:val="20"/>
          <w:lang w:eastAsia="es-MX"/>
        </w:rPr>
        <w:t xml:space="preserve"> a primer trimestre de 2025</w:t>
      </w:r>
    </w:p>
    <w:p w14:paraId="624414DB" w14:textId="77777777" w:rsidR="00CD766F" w:rsidRPr="00CD766F" w:rsidRDefault="00CD766F" w:rsidP="00CD766F">
      <w:pPr>
        <w:pStyle w:val="Titcuadrograf"/>
        <w:ind w:left="0"/>
        <w:rPr>
          <w:b w:val="0"/>
          <w:bCs/>
          <w:smallCaps w:val="0"/>
          <w:color w:val="27251F"/>
          <w:sz w:val="18"/>
          <w:szCs w:val="18"/>
        </w:rPr>
      </w:pPr>
      <w:r w:rsidRPr="006F215C">
        <w:rPr>
          <w:b w:val="0"/>
          <w:bCs/>
          <w:smallCaps w:val="0"/>
          <w:color w:val="27251F"/>
          <w:sz w:val="18"/>
          <w:szCs w:val="18"/>
        </w:rPr>
        <w:t>(variación porcentual anual)</w:t>
      </w:r>
    </w:p>
    <w:tbl>
      <w:tblPr>
        <w:tblStyle w:val="Tablaconcuadrcula6concolores-nfasis1"/>
        <w:tblW w:w="5000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960"/>
        <w:gridCol w:w="960"/>
        <w:gridCol w:w="959"/>
        <w:gridCol w:w="959"/>
        <w:gridCol w:w="959"/>
        <w:gridCol w:w="959"/>
        <w:gridCol w:w="959"/>
      </w:tblGrid>
      <w:tr w:rsidR="001F628E" w:rsidRPr="00902E21" w14:paraId="2DC9BBC6" w14:textId="77777777" w:rsidTr="00177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Merge w:val="restart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3FCEB93F" w14:textId="716CC71F" w:rsidR="001F628E" w:rsidRPr="00A3244C" w:rsidRDefault="001F628E" w:rsidP="003F27DE">
            <w:pPr>
              <w:jc w:val="center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Entidad federativa</w:t>
            </w:r>
          </w:p>
        </w:tc>
        <w:tc>
          <w:tcPr>
            <w:tcW w:w="890" w:type="dxa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2FAB6D34" w14:textId="77777777" w:rsidR="001F628E" w:rsidRPr="00495760" w:rsidRDefault="001F628E" w:rsidP="00662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color w:val="000000" w:themeColor="text1"/>
                <w:sz w:val="18"/>
                <w:szCs w:val="18"/>
              </w:rPr>
            </w:pPr>
            <w:r w:rsidRPr="00495760">
              <w:rPr>
                <w:rFonts w:eastAsia="Arial"/>
                <w:bCs w:val="0"/>
                <w:color w:val="000000" w:themeColor="text1"/>
                <w:sz w:val="18"/>
                <w:szCs w:val="18"/>
              </w:rPr>
              <w:t>2023</w:t>
            </w:r>
            <w:r w:rsidRPr="00495760">
              <w:rPr>
                <w:rFonts w:eastAsia="Arial"/>
                <w:bCs w:val="0"/>
                <w:color w:val="000000" w:themeColor="text1"/>
                <w:sz w:val="18"/>
                <w:szCs w:val="18"/>
                <w:vertAlign w:val="superscript"/>
              </w:rPr>
              <w:t>1/</w:t>
            </w:r>
          </w:p>
        </w:tc>
        <w:tc>
          <w:tcPr>
            <w:tcW w:w="4450" w:type="dxa"/>
            <w:gridSpan w:val="5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631189D7" w14:textId="2E43C120" w:rsidR="001F628E" w:rsidRPr="00495760" w:rsidRDefault="001F628E" w:rsidP="00662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495760">
              <w:rPr>
                <w:bCs w:val="0"/>
                <w:color w:val="000000" w:themeColor="text1"/>
                <w:sz w:val="18"/>
                <w:szCs w:val="18"/>
              </w:rPr>
              <w:t>2024</w:t>
            </w:r>
            <w:r w:rsidR="00B37291" w:rsidRPr="00495760">
              <w:rPr>
                <w:rFonts w:eastAsia="Arial"/>
                <w:bCs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95760">
              <w:rPr>
                <w:rFonts w:eastAsia="Arial"/>
                <w:bCs w:val="0"/>
                <w:color w:val="000000" w:themeColor="text1"/>
                <w:sz w:val="18"/>
                <w:szCs w:val="18"/>
                <w:vertAlign w:val="superscript"/>
              </w:rPr>
              <w:t>/</w:t>
            </w:r>
          </w:p>
        </w:tc>
        <w:tc>
          <w:tcPr>
            <w:tcW w:w="890" w:type="dxa"/>
            <w:tcBorders>
              <w:bottom w:val="none" w:sz="0" w:space="0" w:color="auto"/>
            </w:tcBorders>
            <w:shd w:val="clear" w:color="auto" w:fill="80DDD7"/>
            <w:vAlign w:val="center"/>
          </w:tcPr>
          <w:p w14:paraId="4D255F66" w14:textId="2AF671FB" w:rsidR="001F628E" w:rsidRPr="006D4644" w:rsidRDefault="001F628E" w:rsidP="00662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6D4644">
              <w:rPr>
                <w:bCs w:val="0"/>
                <w:color w:val="000000" w:themeColor="text1"/>
                <w:sz w:val="18"/>
                <w:szCs w:val="18"/>
              </w:rPr>
              <w:t>202</w:t>
            </w:r>
            <w:r>
              <w:rPr>
                <w:bCs w:val="0"/>
                <w:color w:val="000000" w:themeColor="text1"/>
                <w:sz w:val="18"/>
                <w:szCs w:val="18"/>
              </w:rPr>
              <w:t>5</w:t>
            </w:r>
          </w:p>
        </w:tc>
      </w:tr>
      <w:tr w:rsidR="00E93AD7" w:rsidRPr="00902E21" w14:paraId="059B1E5B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Merge/>
            <w:shd w:val="clear" w:color="auto" w:fill="80DDD7"/>
            <w:vAlign w:val="center"/>
          </w:tcPr>
          <w:p w14:paraId="1F8C5544" w14:textId="77777777" w:rsidR="00E93AD7" w:rsidRPr="00A3244C" w:rsidRDefault="00E93AD7" w:rsidP="00662003">
            <w:pPr>
              <w:jc w:val="center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shd w:val="clear" w:color="auto" w:fill="BDEDEA"/>
            <w:vAlign w:val="center"/>
          </w:tcPr>
          <w:p w14:paraId="0B374DA7" w14:textId="5B3DB705" w:rsidR="00E93AD7" w:rsidRPr="00495760" w:rsidRDefault="00E93AD7" w:rsidP="00662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</w:rPr>
              <w:t>Anual</w:t>
            </w:r>
          </w:p>
        </w:tc>
        <w:tc>
          <w:tcPr>
            <w:tcW w:w="890" w:type="dxa"/>
            <w:shd w:val="clear" w:color="auto" w:fill="BDEDEA"/>
            <w:vAlign w:val="center"/>
          </w:tcPr>
          <w:p w14:paraId="63AAC367" w14:textId="27655752" w:rsidR="00E93AD7" w:rsidRPr="00495760" w:rsidRDefault="00E93AD7" w:rsidP="00662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</w:rPr>
              <w:t>1.</w:t>
            </w: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890" w:type="dxa"/>
            <w:shd w:val="clear" w:color="auto" w:fill="BDEDEA"/>
            <w:vAlign w:val="center"/>
          </w:tcPr>
          <w:p w14:paraId="2917280D" w14:textId="5592EBB0" w:rsidR="00E93AD7" w:rsidRPr="00495760" w:rsidRDefault="00E93AD7" w:rsidP="00662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</w:rPr>
              <w:t>2.°</w:t>
            </w:r>
          </w:p>
        </w:tc>
        <w:tc>
          <w:tcPr>
            <w:tcW w:w="890" w:type="dxa"/>
            <w:shd w:val="clear" w:color="auto" w:fill="BDEDEA"/>
            <w:vAlign w:val="center"/>
          </w:tcPr>
          <w:p w14:paraId="78684832" w14:textId="48F04DFF" w:rsidR="00E93AD7" w:rsidRPr="00495760" w:rsidRDefault="00E93AD7" w:rsidP="00662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</w:rPr>
              <w:t>3.</w:t>
            </w: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890" w:type="dxa"/>
            <w:shd w:val="clear" w:color="auto" w:fill="BDEDEA"/>
            <w:vAlign w:val="center"/>
          </w:tcPr>
          <w:p w14:paraId="7708FB5A" w14:textId="33CA93C6" w:rsidR="00E93AD7" w:rsidRPr="00495760" w:rsidRDefault="00E93AD7" w:rsidP="00662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000000" w:themeColor="text1"/>
                <w:sz w:val="18"/>
                <w:szCs w:val="18"/>
              </w:rPr>
            </w:pP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</w:rPr>
              <w:t>4.°</w:t>
            </w:r>
          </w:p>
        </w:tc>
        <w:tc>
          <w:tcPr>
            <w:tcW w:w="890" w:type="dxa"/>
            <w:vMerge w:val="restart"/>
            <w:shd w:val="clear" w:color="auto" w:fill="BDEDEA"/>
            <w:vAlign w:val="center"/>
          </w:tcPr>
          <w:p w14:paraId="65AFE732" w14:textId="6797173F" w:rsidR="00E93AD7" w:rsidRPr="00495760" w:rsidRDefault="00E93AD7" w:rsidP="00662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495760">
              <w:rPr>
                <w:rFonts w:eastAsia="Arial"/>
                <w:b/>
                <w:color w:val="000000" w:themeColor="text1"/>
                <w:sz w:val="18"/>
                <w:szCs w:val="18"/>
              </w:rPr>
              <w:t>Anual</w:t>
            </w:r>
          </w:p>
        </w:tc>
        <w:tc>
          <w:tcPr>
            <w:tcW w:w="890" w:type="dxa"/>
            <w:shd w:val="clear" w:color="auto" w:fill="BDEDEA"/>
            <w:vAlign w:val="center"/>
          </w:tcPr>
          <w:p w14:paraId="28454CAC" w14:textId="5811EE09" w:rsidR="00E93AD7" w:rsidRPr="00A3244C" w:rsidRDefault="00E93AD7" w:rsidP="00662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</w:rPr>
              <w:t>1.</w:t>
            </w:r>
            <w:r w:rsidRPr="002A4BFC">
              <w:rPr>
                <w:rFonts w:eastAsia="Arial"/>
                <w:b/>
                <w:color w:val="000000" w:themeColor="text1"/>
                <w:sz w:val="18"/>
                <w:szCs w:val="18"/>
                <w:vertAlign w:val="superscript"/>
              </w:rPr>
              <w:t>er</w:t>
            </w:r>
          </w:p>
        </w:tc>
      </w:tr>
      <w:tr w:rsidR="00E93AD7" w:rsidRPr="00902E21" w14:paraId="6445C47C" w14:textId="77777777" w:rsidTr="001776CC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Merge/>
            <w:shd w:val="clear" w:color="auto" w:fill="80DDD7"/>
            <w:vAlign w:val="center"/>
            <w:hideMark/>
          </w:tcPr>
          <w:p w14:paraId="2AE8418E" w14:textId="77777777" w:rsidR="00E93AD7" w:rsidRPr="00A3244C" w:rsidRDefault="00E93AD7" w:rsidP="00A530BD">
            <w:pPr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vMerge/>
            <w:shd w:val="clear" w:color="auto" w:fill="80DDD7"/>
            <w:vAlign w:val="center"/>
          </w:tcPr>
          <w:p w14:paraId="2729929F" w14:textId="50CD61F6" w:rsidR="00E93AD7" w:rsidRPr="00A3244C" w:rsidRDefault="00E93AD7" w:rsidP="00662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shd w:val="clear" w:color="auto" w:fill="80DDD7"/>
            <w:vAlign w:val="center"/>
          </w:tcPr>
          <w:p w14:paraId="210BC978" w14:textId="2ACC891B" w:rsidR="00E93AD7" w:rsidRPr="00A3244C" w:rsidRDefault="00E93AD7" w:rsidP="00662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trimestre</w:t>
            </w:r>
          </w:p>
        </w:tc>
        <w:tc>
          <w:tcPr>
            <w:tcW w:w="890" w:type="dxa"/>
            <w:vMerge/>
            <w:shd w:val="clear" w:color="auto" w:fill="80DDD7"/>
            <w:vAlign w:val="center"/>
          </w:tcPr>
          <w:p w14:paraId="44092D54" w14:textId="20FA10EF" w:rsidR="00E93AD7" w:rsidRPr="00A3244C" w:rsidRDefault="00E93AD7" w:rsidP="00662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80DDD7"/>
            <w:vAlign w:val="center"/>
          </w:tcPr>
          <w:p w14:paraId="634B8BF9" w14:textId="02A58B98" w:rsidR="00E93AD7" w:rsidRPr="00A3244C" w:rsidRDefault="00E93AD7" w:rsidP="00662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trimestre</w:t>
            </w:r>
          </w:p>
        </w:tc>
      </w:tr>
      <w:tr w:rsidR="00426852" w:rsidRPr="00902E21" w14:paraId="50A6B843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C0C0C0"/>
            <w:noWrap/>
            <w:vAlign w:val="center"/>
            <w:hideMark/>
          </w:tcPr>
          <w:p w14:paraId="638FAF52" w14:textId="2538CC21" w:rsidR="00426852" w:rsidRPr="00426852" w:rsidRDefault="00426852" w:rsidP="00426852">
            <w:pPr>
              <w:ind w:left="113"/>
              <w:rPr>
                <w:color w:val="auto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Nacional</w:t>
            </w:r>
          </w:p>
        </w:tc>
        <w:tc>
          <w:tcPr>
            <w:tcW w:w="890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1A45DAAC" w14:textId="0EFBE41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26852">
              <w:rPr>
                <w:b/>
                <w:bCs/>
                <w:color w:val="000000"/>
                <w:sz w:val="17"/>
                <w:szCs w:val="17"/>
              </w:rPr>
              <w:t>12.0</w:t>
            </w:r>
          </w:p>
        </w:tc>
        <w:tc>
          <w:tcPr>
            <w:tcW w:w="890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04E2B1F5" w14:textId="7069C827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26852">
              <w:rPr>
                <w:b/>
                <w:bCs/>
                <w:color w:val="000000"/>
                <w:sz w:val="17"/>
                <w:szCs w:val="17"/>
              </w:rPr>
              <w:t>5.7</w:t>
            </w:r>
          </w:p>
        </w:tc>
        <w:tc>
          <w:tcPr>
            <w:tcW w:w="890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07D1C3B2" w14:textId="253067CC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26852">
              <w:rPr>
                <w:b/>
                <w:bCs/>
                <w:color w:val="000000"/>
                <w:sz w:val="17"/>
                <w:szCs w:val="17"/>
              </w:rPr>
              <w:t>5.6</w:t>
            </w:r>
          </w:p>
        </w:tc>
        <w:tc>
          <w:tcPr>
            <w:tcW w:w="890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154D4647" w14:textId="4D0AB8AD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26852">
              <w:rPr>
                <w:b/>
                <w:bCs/>
                <w:color w:val="000000"/>
                <w:sz w:val="17"/>
                <w:szCs w:val="17"/>
              </w:rPr>
              <w:t>7.7</w:t>
            </w:r>
          </w:p>
        </w:tc>
        <w:tc>
          <w:tcPr>
            <w:tcW w:w="890" w:type="dxa"/>
            <w:shd w:val="clear" w:color="auto" w:fill="C0C0C0"/>
            <w:vAlign w:val="center"/>
          </w:tcPr>
          <w:p w14:paraId="5A92360A" w14:textId="2F5BAE3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426852">
              <w:rPr>
                <w:b/>
                <w:bCs/>
                <w:color w:val="000000"/>
                <w:sz w:val="17"/>
                <w:szCs w:val="17"/>
              </w:rPr>
              <w:t>7.6</w:t>
            </w:r>
          </w:p>
        </w:tc>
        <w:tc>
          <w:tcPr>
            <w:tcW w:w="890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508DD7A0" w14:textId="6B369CD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26852">
              <w:rPr>
                <w:b/>
                <w:bCs/>
                <w:color w:val="000000"/>
                <w:sz w:val="17"/>
                <w:szCs w:val="17"/>
              </w:rPr>
              <w:t>6.7</w:t>
            </w:r>
          </w:p>
        </w:tc>
        <w:tc>
          <w:tcPr>
            <w:tcW w:w="890" w:type="dxa"/>
            <w:shd w:val="clear" w:color="auto" w:fill="C0C0C0"/>
            <w:noWrap/>
            <w:tcMar>
              <w:right w:w="57" w:type="dxa"/>
            </w:tcMar>
            <w:vAlign w:val="center"/>
          </w:tcPr>
          <w:p w14:paraId="6C95FA0D" w14:textId="292BB46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26852">
              <w:rPr>
                <w:b/>
                <w:bCs/>
                <w:color w:val="000000"/>
                <w:sz w:val="17"/>
                <w:szCs w:val="17"/>
              </w:rPr>
              <w:t>6.1</w:t>
            </w:r>
          </w:p>
        </w:tc>
      </w:tr>
      <w:tr w:rsidR="00426852" w:rsidRPr="00902E21" w14:paraId="07453B7E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26F7BFC7" w14:textId="3107D1C5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Aguascalientes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984FC2E" w14:textId="14073794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DCB1DBE" w14:textId="73EBE76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440E23C" w14:textId="3C1954E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5.3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833D3F7" w14:textId="32DBE15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5.2</w:t>
            </w:r>
          </w:p>
        </w:tc>
        <w:tc>
          <w:tcPr>
            <w:tcW w:w="890" w:type="dxa"/>
            <w:vAlign w:val="center"/>
          </w:tcPr>
          <w:p w14:paraId="6CA2672F" w14:textId="386086E5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6.8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7577F1A" w14:textId="6A23D32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2B3D027" w14:textId="7B69A3AA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8.5</w:t>
            </w:r>
          </w:p>
        </w:tc>
      </w:tr>
      <w:tr w:rsidR="00426852" w:rsidRPr="00902E21" w14:paraId="635806D7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060803A7" w14:textId="2AC64904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Baja California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C80DDF4" w14:textId="13EBF752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6CFD3FF" w14:textId="5E7BC89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E04CF4E" w14:textId="4DCB7E2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991ABF1" w14:textId="12B49A6F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5.0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711A26F4" w14:textId="35954122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47E16C4" w14:textId="39F080A8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43C2B5B" w14:textId="5A84758F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6.7</w:t>
            </w:r>
          </w:p>
        </w:tc>
      </w:tr>
      <w:tr w:rsidR="00426852" w:rsidRPr="00902E21" w14:paraId="0EFC22E3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430B5C91" w14:textId="394C8839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Baja California Sur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5EB072F" w14:textId="4812B71E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47F6E1D" w14:textId="1107CD86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7B038C8" w14:textId="73643610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E7F4039" w14:textId="667B005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9.0</w:t>
            </w:r>
          </w:p>
        </w:tc>
        <w:tc>
          <w:tcPr>
            <w:tcW w:w="890" w:type="dxa"/>
            <w:vAlign w:val="center"/>
          </w:tcPr>
          <w:p w14:paraId="4D21766B" w14:textId="17C9059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2CFB64E" w14:textId="15E9231E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591A1E2" w14:textId="2BF4E98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6.2</w:t>
            </w:r>
          </w:p>
        </w:tc>
      </w:tr>
      <w:tr w:rsidR="00426852" w:rsidRPr="00902E21" w14:paraId="554672DC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79D31263" w14:textId="04987D09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Campeche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1755B73" w14:textId="69016AF4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21.2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E420B70" w14:textId="767104A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6BDBE86" w14:textId="68CD7295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842F7D0" w14:textId="2CB1A335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1.6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0E395967" w14:textId="35CF035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-3.1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C29DE4C" w14:textId="61C10231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D41EDA4" w14:textId="447DF1DC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-4.2</w:t>
            </w:r>
          </w:p>
        </w:tc>
      </w:tr>
      <w:tr w:rsidR="00426852" w:rsidRPr="00902E21" w14:paraId="6A4C4C7B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0AB14A4D" w14:textId="57DAF990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Coahuila de Zaragoza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E7C206C" w14:textId="06A4F6A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11.3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AF4AEC6" w14:textId="01967F3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7E185BE" w14:textId="059B3D1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51D4C37B" w14:textId="2F829815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7.8</w:t>
            </w:r>
          </w:p>
        </w:tc>
        <w:tc>
          <w:tcPr>
            <w:tcW w:w="890" w:type="dxa"/>
            <w:vAlign w:val="center"/>
          </w:tcPr>
          <w:p w14:paraId="08B6CECF" w14:textId="401139F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A5C3061" w14:textId="6FE9E5E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DB8EC40" w14:textId="7B269CCC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7.0</w:t>
            </w:r>
          </w:p>
        </w:tc>
      </w:tr>
      <w:tr w:rsidR="00426852" w:rsidRPr="00902E21" w14:paraId="7A28FF06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0C1F06FE" w14:textId="04947D2A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Colima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D5BFEDD" w14:textId="4F925BAB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D4D2DCA" w14:textId="3CD39DCA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4E27F7D" w14:textId="1D593317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041C7D6" w14:textId="0209B1A1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12.2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774F7082" w14:textId="48F030C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69C2606" w14:textId="418BFA1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F6B8062" w14:textId="320727B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5.8</w:t>
            </w:r>
          </w:p>
        </w:tc>
      </w:tr>
      <w:tr w:rsidR="00426852" w:rsidRPr="00902E21" w14:paraId="26FFB57D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11CC77B4" w14:textId="410518A4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Chiapas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C18E4DE" w14:textId="7B8F312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211067F" w14:textId="3F5E973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10.4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232F4B4" w14:textId="2ADCDDCC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12.4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7E26A91" w14:textId="76359E64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12.6</w:t>
            </w:r>
          </w:p>
        </w:tc>
        <w:tc>
          <w:tcPr>
            <w:tcW w:w="890" w:type="dxa"/>
            <w:vAlign w:val="center"/>
          </w:tcPr>
          <w:p w14:paraId="2943E344" w14:textId="020A66E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741F19F5" w14:textId="641985A6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833D1AD" w14:textId="42292F30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-0.5</w:t>
            </w:r>
          </w:p>
        </w:tc>
      </w:tr>
      <w:tr w:rsidR="00426852" w:rsidRPr="00902E21" w14:paraId="455CD142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3AE23582" w14:textId="54A30BA1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Chihuahua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32B7F71" w14:textId="0E02094A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6C4C2E8" w14:textId="7F2B21A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576023E" w14:textId="34B66E8A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2.0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B40D4B2" w14:textId="55BB7594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5.8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3EA73144" w14:textId="139A999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12C9823" w14:textId="2D03F6A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6D57100" w14:textId="0C1922C2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7.1</w:t>
            </w:r>
          </w:p>
        </w:tc>
      </w:tr>
      <w:tr w:rsidR="00426852" w:rsidRPr="00902E21" w14:paraId="5179D3DD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14D4BD07" w14:textId="17F32B01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Ciudad de México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064662C" w14:textId="66C5944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6B07B67" w14:textId="44D5B27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4.8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B7AFAF5" w14:textId="552B8CAA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57FA48FE" w14:textId="02C03A04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7.1</w:t>
            </w:r>
          </w:p>
        </w:tc>
        <w:tc>
          <w:tcPr>
            <w:tcW w:w="890" w:type="dxa"/>
            <w:vAlign w:val="center"/>
          </w:tcPr>
          <w:p w14:paraId="0BB13538" w14:textId="237E604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7CF16C2" w14:textId="42405FC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EA8EC31" w14:textId="3AA854C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8.2</w:t>
            </w:r>
          </w:p>
        </w:tc>
      </w:tr>
      <w:tr w:rsidR="00426852" w:rsidRPr="00902E21" w14:paraId="496ACE1D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49C1AABD" w14:textId="4D31B214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Durango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5BFEC41" w14:textId="068981E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ED73A0D" w14:textId="6449768C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1DAE6A8" w14:textId="7155CDD2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8.7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5CF7E05" w14:textId="03C5DFE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12.0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1E6F79E3" w14:textId="592ABED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4224820" w14:textId="57E7FA7F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235EA4F" w14:textId="7981C368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7.2</w:t>
            </w:r>
          </w:p>
        </w:tc>
      </w:tr>
      <w:tr w:rsidR="00426852" w:rsidRPr="00902E21" w14:paraId="719A2304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2171FA37" w14:textId="64B9A3A3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Guanajuato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C98D4FE" w14:textId="40C7994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9.4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7E2FD2E9" w14:textId="444F38D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BBB2F28" w14:textId="2E437A7A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70CC469" w14:textId="6DBE57E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7.4</w:t>
            </w:r>
          </w:p>
        </w:tc>
        <w:tc>
          <w:tcPr>
            <w:tcW w:w="890" w:type="dxa"/>
            <w:vAlign w:val="center"/>
          </w:tcPr>
          <w:p w14:paraId="68221230" w14:textId="3A3F6B5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FD7B06F" w14:textId="2E05155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0986653" w14:textId="14114BD5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6.9</w:t>
            </w:r>
          </w:p>
        </w:tc>
      </w:tr>
      <w:tr w:rsidR="00426852" w:rsidRPr="00902E21" w14:paraId="33F6703F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413E3861" w14:textId="158D6370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Guerrero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B05C439" w14:textId="6C2C8D8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7457028" w14:textId="043EB66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DECAA3D" w14:textId="74E8948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B4BBBCE" w14:textId="1996528A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11.4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46950DBA" w14:textId="36E92FC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37098EA" w14:textId="2ADBCA1A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1A722FE" w14:textId="4CE5203C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8.3</w:t>
            </w:r>
          </w:p>
        </w:tc>
      </w:tr>
      <w:tr w:rsidR="00426852" w:rsidRPr="00902E21" w14:paraId="2435C996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103CF20A" w14:textId="19EBC9B9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Hidalgo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D1E123F" w14:textId="05A6873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55AEBF98" w14:textId="609D132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BF919B7" w14:textId="04F3B8E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E5C3FC0" w14:textId="1509163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9.3</w:t>
            </w:r>
          </w:p>
        </w:tc>
        <w:tc>
          <w:tcPr>
            <w:tcW w:w="890" w:type="dxa"/>
            <w:vAlign w:val="center"/>
          </w:tcPr>
          <w:p w14:paraId="2DDE2DBB" w14:textId="18A5FA7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4065A0F" w14:textId="3286BA2A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2B9927F" w14:textId="75A0BEA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8.9</w:t>
            </w:r>
          </w:p>
        </w:tc>
      </w:tr>
      <w:tr w:rsidR="00426852" w:rsidRPr="00902E21" w14:paraId="719D96CF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3E8342DB" w14:textId="72A08B88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Jalisco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CA8A15A" w14:textId="1415DB71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C42D2B5" w14:textId="25903B6B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A9A61DE" w14:textId="294448A5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FA93BB7" w14:textId="3BA3B47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7.8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2588EF78" w14:textId="124E0601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6.7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A64D2EB" w14:textId="56491B9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8FC4987" w14:textId="4DB572A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6.1</w:t>
            </w:r>
          </w:p>
        </w:tc>
      </w:tr>
      <w:tr w:rsidR="00426852" w:rsidRPr="00902E21" w14:paraId="4DC52E00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45AF6A13" w14:textId="04A21055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México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758543E0" w14:textId="58594FA4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489D493" w14:textId="75511A5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7.3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6ACC9F9" w14:textId="436CA505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DCCFC45" w14:textId="3A037ED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6.6</w:t>
            </w:r>
          </w:p>
        </w:tc>
        <w:tc>
          <w:tcPr>
            <w:tcW w:w="890" w:type="dxa"/>
            <w:vAlign w:val="center"/>
          </w:tcPr>
          <w:p w14:paraId="67DD5EE9" w14:textId="3324F52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BF6C05B" w14:textId="2BDD180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43E1C01" w14:textId="5BF0B0D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4.8</w:t>
            </w:r>
          </w:p>
        </w:tc>
      </w:tr>
      <w:tr w:rsidR="00426852" w:rsidRPr="00902E21" w14:paraId="2720FC47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20829576" w14:textId="63896751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Michoacán de Ocampo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CAC9314" w14:textId="294D7A4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3933D7C" w14:textId="1C57AB57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3.7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2AA8203" w14:textId="6A54E405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24A56E7" w14:textId="55BC9597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9.4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357AA706" w14:textId="3EC3B2C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8F49D07" w14:textId="74AE258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B390FD4" w14:textId="57E19BF4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6.0</w:t>
            </w:r>
          </w:p>
        </w:tc>
      </w:tr>
      <w:tr w:rsidR="00426852" w:rsidRPr="00902E21" w14:paraId="370C6FA1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377AF57A" w14:textId="0A71068B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Morelos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3282051" w14:textId="2D14B9D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8.4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56C727B" w14:textId="0F2B5C6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C70B53A" w14:textId="0D84C4B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AE522B3" w14:textId="397A9C0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5.6</w:t>
            </w:r>
          </w:p>
        </w:tc>
        <w:tc>
          <w:tcPr>
            <w:tcW w:w="890" w:type="dxa"/>
            <w:vAlign w:val="center"/>
          </w:tcPr>
          <w:p w14:paraId="19CBD708" w14:textId="2FBFCD2C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3710272" w14:textId="6C2EDFA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177ABF4" w14:textId="5D47259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2.8</w:t>
            </w:r>
          </w:p>
        </w:tc>
      </w:tr>
      <w:tr w:rsidR="00426852" w:rsidRPr="00902E21" w14:paraId="7C7E5287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732351F8" w14:textId="1F0DDB62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Nayarit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D0C992C" w14:textId="71A5F9D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12.7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75CED0C" w14:textId="076FAD7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2FECAD0" w14:textId="625F675B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3B76528" w14:textId="010CEAD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6.9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2712DE46" w14:textId="67994F2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DB06FF8" w14:textId="7F7F9031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4C45F07" w14:textId="5BCBB67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5.4</w:t>
            </w:r>
          </w:p>
        </w:tc>
      </w:tr>
      <w:tr w:rsidR="00426852" w:rsidRPr="00902E21" w14:paraId="57EEB2DF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1530EDB9" w14:textId="4499078F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Nuevo León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11C7C3F" w14:textId="3DC3C2C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13.2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CD72C8B" w14:textId="1A133CBC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5D4980E" w14:textId="6F0DAAD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6.3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7DA1678" w14:textId="7A611E26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10.7</w:t>
            </w:r>
          </w:p>
        </w:tc>
        <w:tc>
          <w:tcPr>
            <w:tcW w:w="890" w:type="dxa"/>
            <w:vAlign w:val="center"/>
          </w:tcPr>
          <w:p w14:paraId="2720D284" w14:textId="7ACEA2CB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49CDB13" w14:textId="644843D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508D4DCE" w14:textId="435FD0A5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5.9</w:t>
            </w:r>
          </w:p>
        </w:tc>
      </w:tr>
      <w:tr w:rsidR="00426852" w:rsidRPr="00902E21" w14:paraId="2E0CF145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7B510972" w14:textId="5F73158F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Oaxaca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EE464F4" w14:textId="5D0EF0F4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13.0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B01DF4C" w14:textId="213EB0F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1E04DCA" w14:textId="7D178B8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514F66E" w14:textId="0B51BDA7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11.5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6D9E34BB" w14:textId="59E554E8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03EAEB6" w14:textId="4DF72CAF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FC119EF" w14:textId="1E7A1EB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12.7</w:t>
            </w:r>
          </w:p>
        </w:tc>
      </w:tr>
      <w:tr w:rsidR="00426852" w:rsidRPr="00902E21" w14:paraId="74EC71A9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4190A747" w14:textId="533E4ACB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Puebla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56E2602" w14:textId="17C8420A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DB5050D" w14:textId="789A298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6.4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48F93E6" w14:textId="4D37630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8.3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3299FAC" w14:textId="60DFC94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7.9</w:t>
            </w:r>
          </w:p>
        </w:tc>
        <w:tc>
          <w:tcPr>
            <w:tcW w:w="890" w:type="dxa"/>
            <w:vAlign w:val="center"/>
          </w:tcPr>
          <w:p w14:paraId="34C68885" w14:textId="0438B32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5.6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EDF370A" w14:textId="0E3DD8A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44F6543" w14:textId="75AC5CD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4.8</w:t>
            </w:r>
          </w:p>
        </w:tc>
      </w:tr>
      <w:tr w:rsidR="00426852" w:rsidRPr="00902E21" w14:paraId="6AFC3A62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2DD154AF" w14:textId="5A5D9E48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Querétaro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2AA93D1" w14:textId="548E0CF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4F59562" w14:textId="68954822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C70D65A" w14:textId="41FD34B7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4.7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FDBF703" w14:textId="29DC2DB1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7.2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4E5E9B6B" w14:textId="7ED1B7A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4A01066" w14:textId="4E7EEE5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5BA1D885" w14:textId="768A387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8.0</w:t>
            </w:r>
          </w:p>
        </w:tc>
      </w:tr>
      <w:tr w:rsidR="00426852" w:rsidRPr="00902E21" w14:paraId="59DC7F4D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6958BA29" w14:textId="7985F1A3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Quintana Roo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0BEA9AC7" w14:textId="2293F15A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16.3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2407CA4" w14:textId="209EDC5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14.0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EFA69D5" w14:textId="0977DCDC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7BAEA72" w14:textId="5660A2E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4.9</w:t>
            </w:r>
          </w:p>
        </w:tc>
        <w:tc>
          <w:tcPr>
            <w:tcW w:w="890" w:type="dxa"/>
            <w:vAlign w:val="center"/>
          </w:tcPr>
          <w:p w14:paraId="43FD03E2" w14:textId="5457A1C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8C0D7A1" w14:textId="40E76D1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91D0884" w14:textId="09521FD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5.6</w:t>
            </w:r>
          </w:p>
        </w:tc>
      </w:tr>
      <w:tr w:rsidR="00426852" w:rsidRPr="00902E21" w14:paraId="782C4C4D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7B0C9485" w14:textId="1ECF4607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San Luis Potosí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CAAB392" w14:textId="10BE48FF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13.2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BB7A841" w14:textId="6F0318EE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FBE92A4" w14:textId="64E0487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D0C6CEE" w14:textId="0B47D2C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4.0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558D9593" w14:textId="5D6DA07D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0BBA7A6" w14:textId="51B2BBD8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4.2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A1B6632" w14:textId="50DD1E8A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4.0</w:t>
            </w:r>
          </w:p>
        </w:tc>
      </w:tr>
      <w:tr w:rsidR="00426852" w:rsidRPr="00902E21" w14:paraId="63FD9E8D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56781265" w14:textId="124057B2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Sinaloa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5766803C" w14:textId="4971106B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2526BF2" w14:textId="118FC106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7F03D6D6" w14:textId="52ECC916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4.3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5155CB39" w14:textId="60EB3CE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4.9</w:t>
            </w:r>
          </w:p>
        </w:tc>
        <w:tc>
          <w:tcPr>
            <w:tcW w:w="890" w:type="dxa"/>
            <w:vAlign w:val="center"/>
          </w:tcPr>
          <w:p w14:paraId="024476D9" w14:textId="3B8BBFE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36230BB" w14:textId="7B4D1EC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8F46CC5" w14:textId="58A1FAA0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3.9</w:t>
            </w:r>
          </w:p>
        </w:tc>
      </w:tr>
      <w:tr w:rsidR="00426852" w:rsidRPr="00902E21" w14:paraId="6D5B448A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13B87106" w14:textId="2494E485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Sonora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5D4B8F1" w14:textId="7F0F9628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12.8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CC7AD25" w14:textId="1400868D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34A5C1A" w14:textId="7336992D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3.0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6BC2E6F" w14:textId="109F37E8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6.5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0AFA25CE" w14:textId="473069C4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C4E1BC2" w14:textId="27565DAB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B8BCD99" w14:textId="37543E51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6.3</w:t>
            </w:r>
          </w:p>
        </w:tc>
      </w:tr>
      <w:tr w:rsidR="00426852" w:rsidRPr="00902E21" w14:paraId="0A129FFD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616159F1" w14:textId="0AE918CE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Tabasco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EC45D79" w14:textId="2B694DD6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7E42CC83" w14:textId="01DBCAA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3ACAA9C" w14:textId="67FA668C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2.4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721A0799" w14:textId="0C3CE8B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2.0</w:t>
            </w:r>
          </w:p>
        </w:tc>
        <w:tc>
          <w:tcPr>
            <w:tcW w:w="890" w:type="dxa"/>
            <w:vAlign w:val="center"/>
          </w:tcPr>
          <w:p w14:paraId="568ABA2B" w14:textId="17B7CB5C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0.2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BA26C1E" w14:textId="010141F9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2.8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511ABEB2" w14:textId="284C8DC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-1.4</w:t>
            </w:r>
          </w:p>
        </w:tc>
      </w:tr>
      <w:tr w:rsidR="00426852" w:rsidRPr="00902E21" w14:paraId="7D0130C4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079060EA" w14:textId="03B68306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Tamaulipas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8E2A6BB" w14:textId="0BCD208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3A2336D7" w14:textId="5764FA92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3FBA6F3" w14:textId="57EDA557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3.3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840B81C" w14:textId="52ECEB2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8.0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72474C1F" w14:textId="6605E3E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7.1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5E3B928" w14:textId="0B04D942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C42E2BD" w14:textId="540F5F44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6.6</w:t>
            </w:r>
          </w:p>
        </w:tc>
      </w:tr>
      <w:tr w:rsidR="00426852" w:rsidRPr="00902E21" w14:paraId="089AA96E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31B8D3AD" w14:textId="17258B33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Tlaxcala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A9D7316" w14:textId="1659D642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8.5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554C14D" w14:textId="0F7D5455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F886430" w14:textId="5618F6C0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7.1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E786EA2" w14:textId="16BF1498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8.6</w:t>
            </w:r>
          </w:p>
        </w:tc>
        <w:tc>
          <w:tcPr>
            <w:tcW w:w="890" w:type="dxa"/>
            <w:vAlign w:val="center"/>
          </w:tcPr>
          <w:p w14:paraId="20E57AED" w14:textId="3B85D3D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8.2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D393DF5" w14:textId="181C1FDE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380A9248" w14:textId="09FF55CD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8.4</w:t>
            </w:r>
          </w:p>
        </w:tc>
      </w:tr>
      <w:tr w:rsidR="00426852" w:rsidRPr="00902E21" w14:paraId="5F84A293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30628933" w14:textId="34ABDA13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Veracruz de Ignacio de la Llave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F3631C2" w14:textId="3FD9EB6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11.6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6D1FBD36" w14:textId="2628F33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10.7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5AAA35F" w14:textId="0C063C5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9.5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E4A5CF0" w14:textId="6645055B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10.4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6CCCD302" w14:textId="00EB5FA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4.3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5DC2C8A" w14:textId="60C18393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1AA5A3AB" w14:textId="7AE18C8B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2.6</w:t>
            </w:r>
          </w:p>
        </w:tc>
      </w:tr>
      <w:tr w:rsidR="00426852" w:rsidRPr="00902E21" w14:paraId="4EAE603A" w14:textId="77777777" w:rsidTr="001776CC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noWrap/>
            <w:vAlign w:val="center"/>
            <w:hideMark/>
          </w:tcPr>
          <w:p w14:paraId="7E5DB7DE" w14:textId="7125A049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Yucatán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C63B103" w14:textId="4B82F4C6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15.4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78AB98C" w14:textId="79F52B44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2FFD1AA2" w14:textId="4D89B9A7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9.9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1BF38C79" w14:textId="37A40F83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10.5</w:t>
            </w:r>
          </w:p>
        </w:tc>
        <w:tc>
          <w:tcPr>
            <w:tcW w:w="890" w:type="dxa"/>
            <w:vAlign w:val="center"/>
          </w:tcPr>
          <w:p w14:paraId="75651724" w14:textId="2BF3F83F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6.8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6960CCB4" w14:textId="498752B1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8.7</w:t>
            </w:r>
          </w:p>
        </w:tc>
        <w:tc>
          <w:tcPr>
            <w:tcW w:w="890" w:type="dxa"/>
            <w:noWrap/>
            <w:tcMar>
              <w:right w:w="57" w:type="dxa"/>
            </w:tcMar>
            <w:vAlign w:val="center"/>
          </w:tcPr>
          <w:p w14:paraId="419A11EC" w14:textId="677C26EA" w:rsidR="00426852" w:rsidRPr="00426852" w:rsidRDefault="00426852" w:rsidP="00426852">
            <w:pPr>
              <w:ind w:right="255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9.5</w:t>
            </w:r>
          </w:p>
        </w:tc>
      </w:tr>
      <w:tr w:rsidR="00426852" w:rsidRPr="00902E21" w14:paraId="4DA2FC99" w14:textId="77777777" w:rsidTr="0017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F2F2F2"/>
            <w:noWrap/>
            <w:vAlign w:val="center"/>
            <w:hideMark/>
          </w:tcPr>
          <w:p w14:paraId="12AE7494" w14:textId="60766DD7" w:rsidR="00426852" w:rsidRPr="00426852" w:rsidRDefault="00426852" w:rsidP="00426852">
            <w:pPr>
              <w:ind w:left="113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426852">
              <w:rPr>
                <w:b w:val="0"/>
                <w:bCs w:val="0"/>
                <w:color w:val="000000"/>
                <w:sz w:val="17"/>
                <w:szCs w:val="17"/>
              </w:rPr>
              <w:t>Zacatecas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49BB0DA2" w14:textId="3A60B596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8.9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806DEB6" w14:textId="2B230539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6.0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2A9AC44F" w14:textId="798C2B5A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7.3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E69DC86" w14:textId="11681F1F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14.3</w:t>
            </w:r>
          </w:p>
        </w:tc>
        <w:tc>
          <w:tcPr>
            <w:tcW w:w="890" w:type="dxa"/>
            <w:shd w:val="clear" w:color="auto" w:fill="F2F2F2"/>
            <w:vAlign w:val="center"/>
          </w:tcPr>
          <w:p w14:paraId="1FD421DF" w14:textId="627EB2D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5.6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0E3DC1A5" w14:textId="319ECB80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8.4</w:t>
            </w:r>
          </w:p>
        </w:tc>
        <w:tc>
          <w:tcPr>
            <w:tcW w:w="890" w:type="dxa"/>
            <w:shd w:val="clear" w:color="auto" w:fill="F2F2F2"/>
            <w:noWrap/>
            <w:tcMar>
              <w:right w:w="57" w:type="dxa"/>
            </w:tcMar>
            <w:vAlign w:val="center"/>
          </w:tcPr>
          <w:p w14:paraId="723A9CEC" w14:textId="33F1C398" w:rsidR="00426852" w:rsidRPr="00426852" w:rsidRDefault="00426852" w:rsidP="00426852">
            <w:pPr>
              <w:ind w:right="255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6852">
              <w:rPr>
                <w:color w:val="000000"/>
                <w:sz w:val="17"/>
                <w:szCs w:val="17"/>
              </w:rPr>
              <w:t>6.6</w:t>
            </w:r>
          </w:p>
        </w:tc>
      </w:tr>
    </w:tbl>
    <w:p w14:paraId="1424508A" w14:textId="77777777" w:rsidR="00B37291" w:rsidRPr="0051326C" w:rsidRDefault="00B37291" w:rsidP="002403DF">
      <w:pPr>
        <w:pStyle w:val="p0"/>
        <w:spacing w:before="0"/>
        <w:ind w:left="1020" w:right="397" w:hanging="567"/>
        <w:jc w:val="left"/>
        <w:rPr>
          <w:rFonts w:ascii="Arial" w:hAnsi="Arial"/>
          <w:bCs/>
          <w:color w:val="4D565E"/>
          <w:sz w:val="16"/>
          <w:szCs w:val="16"/>
        </w:rPr>
      </w:pPr>
      <w:r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>1/</w:t>
      </w:r>
      <w:r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ab/>
      </w:r>
      <w:r w:rsidRPr="0051326C">
        <w:rPr>
          <w:rFonts w:ascii="Arial" w:hAnsi="Arial"/>
          <w:bCs/>
          <w:color w:val="4D565E"/>
          <w:sz w:val="16"/>
          <w:szCs w:val="16"/>
        </w:rPr>
        <w:t>Cifras revisadas.</w:t>
      </w:r>
    </w:p>
    <w:p w14:paraId="5032895C" w14:textId="342A6AE8" w:rsidR="00B37291" w:rsidRPr="00F8183C" w:rsidRDefault="00B37291" w:rsidP="002403DF">
      <w:pPr>
        <w:pStyle w:val="p0"/>
        <w:spacing w:before="0"/>
        <w:ind w:left="1020" w:right="397" w:hanging="567"/>
        <w:jc w:val="left"/>
        <w:rPr>
          <w:rFonts w:ascii="Arial" w:hAnsi="Arial"/>
          <w:bCs/>
          <w:color w:val="4D565E"/>
          <w:sz w:val="16"/>
          <w:szCs w:val="16"/>
        </w:rPr>
      </w:pPr>
      <w:r>
        <w:rPr>
          <w:rFonts w:ascii="Arial" w:hAnsi="Arial"/>
          <w:bCs/>
          <w:color w:val="4D565E"/>
          <w:sz w:val="16"/>
          <w:szCs w:val="16"/>
          <w:vertAlign w:val="superscript"/>
        </w:rPr>
        <w:t>2</w:t>
      </w:r>
      <w:r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>/</w:t>
      </w:r>
      <w:r w:rsidRPr="0051326C">
        <w:rPr>
          <w:rFonts w:ascii="Arial" w:hAnsi="Arial"/>
          <w:bCs/>
          <w:color w:val="4D565E"/>
          <w:sz w:val="16"/>
          <w:szCs w:val="16"/>
          <w:vertAlign w:val="superscript"/>
        </w:rPr>
        <w:tab/>
      </w:r>
      <w:r w:rsidRPr="0051326C">
        <w:rPr>
          <w:rFonts w:ascii="Arial" w:hAnsi="Arial"/>
          <w:bCs/>
          <w:color w:val="4D565E"/>
          <w:sz w:val="16"/>
          <w:szCs w:val="16"/>
        </w:rPr>
        <w:t>Cifras preliminares.</w:t>
      </w:r>
    </w:p>
    <w:p w14:paraId="164AC9A6" w14:textId="3E2CB8B8" w:rsidR="00BD0652" w:rsidRPr="00A3244C" w:rsidRDefault="00BD0652" w:rsidP="002403DF">
      <w:pPr>
        <w:pStyle w:val="p0"/>
        <w:spacing w:before="0"/>
        <w:ind w:left="1020" w:right="397" w:hanging="607"/>
        <w:rPr>
          <w:rFonts w:ascii="Arial" w:hAnsi="Arial"/>
          <w:bCs/>
          <w:color w:val="4D565E"/>
          <w:sz w:val="16"/>
          <w:szCs w:val="16"/>
        </w:rPr>
      </w:pPr>
      <w:r w:rsidRPr="00A3244C">
        <w:rPr>
          <w:rFonts w:ascii="Arial" w:hAnsi="Arial"/>
          <w:bCs/>
          <w:color w:val="4D565E"/>
          <w:sz w:val="16"/>
          <w:szCs w:val="16"/>
        </w:rPr>
        <w:t>Fuente</w:t>
      </w:r>
      <w:r w:rsidRPr="00A3244C">
        <w:rPr>
          <w:rFonts w:ascii="Arial" w:hAnsi="Arial"/>
          <w:bCs/>
          <w:smallCaps/>
          <w:color w:val="4D565E"/>
          <w:sz w:val="16"/>
          <w:szCs w:val="16"/>
        </w:rPr>
        <w:t>:</w:t>
      </w:r>
      <w:r w:rsidRPr="00A3244C">
        <w:rPr>
          <w:rFonts w:ascii="Arial" w:hAnsi="Arial"/>
          <w:bCs/>
          <w:smallCaps/>
          <w:color w:val="4D565E"/>
          <w:sz w:val="16"/>
          <w:szCs w:val="16"/>
        </w:rPr>
        <w:tab/>
        <w:t xml:space="preserve">inegi. </w:t>
      </w:r>
      <w:r w:rsidRPr="00A3244C">
        <w:rPr>
          <w:rFonts w:ascii="Arial" w:hAnsi="Arial"/>
          <w:bCs/>
          <w:color w:val="4D565E"/>
          <w:sz w:val="16"/>
          <w:szCs w:val="16"/>
        </w:rPr>
        <w:t>Sistema de Cuentas Nacionales de México (</w:t>
      </w:r>
      <w:r w:rsidRPr="00A3244C">
        <w:rPr>
          <w:rFonts w:ascii="Arial" w:hAnsi="Arial"/>
          <w:bCs/>
          <w:smallCaps/>
          <w:color w:val="4D565E"/>
          <w:sz w:val="16"/>
          <w:szCs w:val="16"/>
        </w:rPr>
        <w:t>scnm</w:t>
      </w:r>
      <w:r w:rsidRPr="00A3244C">
        <w:rPr>
          <w:rFonts w:ascii="Arial" w:hAnsi="Arial"/>
          <w:bCs/>
          <w:color w:val="4D565E"/>
          <w:sz w:val="16"/>
          <w:szCs w:val="16"/>
        </w:rPr>
        <w:t xml:space="preserve">). </w:t>
      </w:r>
      <w:r w:rsidRPr="00A3244C">
        <w:rPr>
          <w:rFonts w:ascii="Arial" w:hAnsi="Arial"/>
          <w:color w:val="4D565E"/>
          <w:sz w:val="16"/>
          <w:szCs w:val="16"/>
        </w:rPr>
        <w:t>Mediciones Trimestrales de los Puestos de Trabajo y sus Remuneraciones por Entidad Federativa</w:t>
      </w:r>
      <w:r w:rsidRPr="00A3244C">
        <w:rPr>
          <w:rFonts w:ascii="Arial" w:hAnsi="Arial"/>
          <w:bCs/>
          <w:smallCaps/>
          <w:color w:val="4D565E"/>
          <w:sz w:val="16"/>
          <w:szCs w:val="16"/>
        </w:rPr>
        <w:t xml:space="preserve"> (mtptref), </w:t>
      </w:r>
      <w:r w:rsidRPr="00A3244C">
        <w:rPr>
          <w:rFonts w:ascii="Arial" w:hAnsi="Arial"/>
          <w:bCs/>
          <w:color w:val="4D565E"/>
          <w:sz w:val="16"/>
          <w:szCs w:val="16"/>
        </w:rPr>
        <w:t>202</w:t>
      </w:r>
      <w:r w:rsidR="00FC6586">
        <w:rPr>
          <w:rFonts w:ascii="Arial" w:hAnsi="Arial"/>
          <w:bCs/>
          <w:color w:val="4D565E"/>
          <w:sz w:val="16"/>
          <w:szCs w:val="16"/>
        </w:rPr>
        <w:t>5</w:t>
      </w:r>
      <w:r w:rsidRPr="00A3244C">
        <w:rPr>
          <w:rFonts w:ascii="Arial" w:hAnsi="Arial"/>
          <w:bCs/>
          <w:color w:val="4D565E"/>
          <w:sz w:val="16"/>
          <w:szCs w:val="16"/>
        </w:rPr>
        <w:t>.</w:t>
      </w:r>
    </w:p>
    <w:p w14:paraId="1AC2D8CF" w14:textId="7063649E" w:rsidR="00F810F2" w:rsidRPr="006F215C" w:rsidRDefault="00F810F2" w:rsidP="00630477">
      <w:pPr>
        <w:pStyle w:val="Textoindependiente21"/>
        <w:keepNext/>
        <w:keepLines/>
        <w:numPr>
          <w:ilvl w:val="12"/>
          <w:numId w:val="0"/>
        </w:numPr>
        <w:spacing w:before="120"/>
        <w:rPr>
          <w:color w:val="auto"/>
        </w:rPr>
      </w:pPr>
      <w:r w:rsidRPr="006F215C">
        <w:rPr>
          <w:color w:val="auto"/>
        </w:rPr>
        <w:lastRenderedPageBreak/>
        <w:t xml:space="preserve">Las entidades con </w:t>
      </w:r>
      <w:r w:rsidR="00BF1024" w:rsidRPr="006F215C">
        <w:rPr>
          <w:color w:val="auto"/>
        </w:rPr>
        <w:t xml:space="preserve">las </w:t>
      </w:r>
      <w:r w:rsidRPr="006F215C">
        <w:rPr>
          <w:color w:val="auto"/>
        </w:rPr>
        <w:t>mayor</w:t>
      </w:r>
      <w:r w:rsidR="00BF1024" w:rsidRPr="006F215C">
        <w:rPr>
          <w:color w:val="auto"/>
        </w:rPr>
        <w:t>es</w:t>
      </w:r>
      <w:r w:rsidRPr="006F215C">
        <w:rPr>
          <w:color w:val="auto"/>
        </w:rPr>
        <w:t xml:space="preserve"> aportaci</w:t>
      </w:r>
      <w:r w:rsidR="00BF1024" w:rsidRPr="006F215C">
        <w:rPr>
          <w:color w:val="auto"/>
        </w:rPr>
        <w:t>ones</w:t>
      </w:r>
      <w:r w:rsidRPr="006F215C">
        <w:rPr>
          <w:color w:val="auto"/>
        </w:rPr>
        <w:t xml:space="preserve"> a la variación</w:t>
      </w:r>
      <w:r w:rsidR="00AA6D3A" w:rsidRPr="006F215C">
        <w:rPr>
          <w:color w:val="auto"/>
        </w:rPr>
        <w:t xml:space="preserve"> anual</w:t>
      </w:r>
      <w:r w:rsidRPr="006F215C">
        <w:rPr>
          <w:color w:val="auto"/>
        </w:rPr>
        <w:t xml:space="preserve"> </w:t>
      </w:r>
      <w:r w:rsidR="00AA6D3A" w:rsidRPr="006F215C">
        <w:rPr>
          <w:color w:val="auto"/>
        </w:rPr>
        <w:t xml:space="preserve">total </w:t>
      </w:r>
      <w:r w:rsidRPr="006F215C">
        <w:rPr>
          <w:color w:val="auto"/>
        </w:rPr>
        <w:t xml:space="preserve">de las remuneraciones de los asalariados fueron Ciudad de México, estado de México, </w:t>
      </w:r>
      <w:r w:rsidR="00D83B39" w:rsidRPr="006F215C">
        <w:rPr>
          <w:color w:val="auto"/>
        </w:rPr>
        <w:t xml:space="preserve">Jalisco, </w:t>
      </w:r>
      <w:r w:rsidRPr="006F215C">
        <w:rPr>
          <w:color w:val="auto"/>
        </w:rPr>
        <w:t>Nuevo León,</w:t>
      </w:r>
      <w:r w:rsidR="001343F1" w:rsidRPr="006F215C">
        <w:rPr>
          <w:color w:val="auto"/>
        </w:rPr>
        <w:t xml:space="preserve"> Guanajuato</w:t>
      </w:r>
      <w:r w:rsidR="004568C3" w:rsidRPr="006F215C">
        <w:rPr>
          <w:color w:val="auto"/>
        </w:rPr>
        <w:t>,</w:t>
      </w:r>
      <w:r w:rsidR="00D83B39" w:rsidRPr="006F215C">
        <w:rPr>
          <w:color w:val="auto"/>
        </w:rPr>
        <w:t xml:space="preserve"> Chihuahua,</w:t>
      </w:r>
      <w:r w:rsidR="004568C3" w:rsidRPr="006F215C">
        <w:rPr>
          <w:color w:val="auto"/>
        </w:rPr>
        <w:t xml:space="preserve"> </w:t>
      </w:r>
      <w:r w:rsidR="001343F1" w:rsidRPr="006F215C">
        <w:rPr>
          <w:color w:val="auto"/>
        </w:rPr>
        <w:t>Baja California,</w:t>
      </w:r>
      <w:r w:rsidR="00D83B39" w:rsidRPr="006F215C">
        <w:rPr>
          <w:color w:val="auto"/>
        </w:rPr>
        <w:t xml:space="preserve"> Oaxaca</w:t>
      </w:r>
      <w:r w:rsidR="004568C3" w:rsidRPr="006F215C">
        <w:rPr>
          <w:color w:val="auto"/>
        </w:rPr>
        <w:t>,</w:t>
      </w:r>
      <w:r w:rsidR="00D83B39" w:rsidRPr="006F215C">
        <w:rPr>
          <w:color w:val="auto"/>
        </w:rPr>
        <w:t xml:space="preserve"> Coahuila</w:t>
      </w:r>
      <w:r w:rsidR="00E36548" w:rsidRPr="006F215C">
        <w:rPr>
          <w:color w:val="auto"/>
        </w:rPr>
        <w:t xml:space="preserve"> y</w:t>
      </w:r>
      <w:r w:rsidR="004568C3" w:rsidRPr="006F215C">
        <w:rPr>
          <w:color w:val="auto"/>
        </w:rPr>
        <w:t xml:space="preserve"> </w:t>
      </w:r>
      <w:r w:rsidR="001343F1" w:rsidRPr="006F215C">
        <w:rPr>
          <w:color w:val="auto"/>
        </w:rPr>
        <w:t>Tamaulipas</w:t>
      </w:r>
      <w:r w:rsidR="00E36548" w:rsidRPr="006F215C">
        <w:rPr>
          <w:color w:val="auto"/>
        </w:rPr>
        <w:t xml:space="preserve"> </w:t>
      </w:r>
      <w:r w:rsidR="004568C3" w:rsidRPr="006F215C">
        <w:rPr>
          <w:color w:val="auto"/>
        </w:rPr>
        <w:t>(</w:t>
      </w:r>
      <w:r w:rsidR="00A077B9" w:rsidRPr="006F215C">
        <w:rPr>
          <w:color w:val="auto"/>
        </w:rPr>
        <w:t>ver</w:t>
      </w:r>
      <w:r w:rsidR="00E36548" w:rsidRPr="006F215C">
        <w:rPr>
          <w:color w:val="auto"/>
        </w:rPr>
        <w:t xml:space="preserve"> </w:t>
      </w:r>
      <w:r w:rsidR="00A077B9" w:rsidRPr="006F215C">
        <w:rPr>
          <w:color w:val="auto"/>
        </w:rPr>
        <w:t>gráfica</w:t>
      </w:r>
      <w:r w:rsidR="00E36548" w:rsidRPr="006F215C">
        <w:rPr>
          <w:color w:val="auto"/>
        </w:rPr>
        <w:t xml:space="preserve"> </w:t>
      </w:r>
      <w:r w:rsidR="00A077B9" w:rsidRPr="006F215C">
        <w:rPr>
          <w:color w:val="auto"/>
        </w:rPr>
        <w:t>2)</w:t>
      </w:r>
      <w:r w:rsidR="004568C3" w:rsidRPr="006F215C">
        <w:rPr>
          <w:color w:val="auto"/>
        </w:rPr>
        <w:t>.</w:t>
      </w:r>
    </w:p>
    <w:p w14:paraId="400440DC" w14:textId="77777777" w:rsidR="00F810F2" w:rsidRPr="000F1EC0" w:rsidRDefault="00F810F2" w:rsidP="006F215C">
      <w:pPr>
        <w:keepNext/>
        <w:keepLines/>
        <w:spacing w:before="120"/>
        <w:jc w:val="center"/>
        <w:rPr>
          <w:color w:val="4D565E"/>
          <w:sz w:val="20"/>
          <w:szCs w:val="20"/>
        </w:rPr>
      </w:pPr>
      <w:r w:rsidRPr="006F215C">
        <w:rPr>
          <w:color w:val="4D565E"/>
          <w:sz w:val="20"/>
          <w:szCs w:val="20"/>
        </w:rPr>
        <w:t>Gráfica 2</w:t>
      </w:r>
    </w:p>
    <w:p w14:paraId="6B58F4BE" w14:textId="77777777" w:rsidR="00A077B9" w:rsidRPr="000F1EC0" w:rsidRDefault="00A077B9" w:rsidP="00F810F2">
      <w:pPr>
        <w:pStyle w:val="Titcuadrograf"/>
        <w:ind w:left="0"/>
        <w:rPr>
          <w:smallCaps w:val="0"/>
          <w:color w:val="003057"/>
          <w:sz w:val="22"/>
          <w:szCs w:val="22"/>
        </w:rPr>
      </w:pPr>
      <w:r w:rsidRPr="000F1EC0">
        <w:rPr>
          <w:smallCaps w:val="0"/>
          <w:color w:val="003057"/>
          <w:sz w:val="22"/>
          <w:szCs w:val="22"/>
        </w:rPr>
        <w:t>V</w:t>
      </w:r>
      <w:r w:rsidR="00F810F2" w:rsidRPr="000F1EC0">
        <w:rPr>
          <w:smallCaps w:val="0"/>
          <w:color w:val="003057"/>
          <w:sz w:val="22"/>
          <w:szCs w:val="22"/>
        </w:rPr>
        <w:t>ariación y contribución anual de las remuneraciones</w:t>
      </w:r>
      <w:r w:rsidRPr="000F1EC0">
        <w:rPr>
          <w:smallCaps w:val="0"/>
          <w:color w:val="003057"/>
          <w:sz w:val="22"/>
          <w:szCs w:val="22"/>
        </w:rPr>
        <w:t xml:space="preserve"> </w:t>
      </w:r>
      <w:r w:rsidR="00F810F2" w:rsidRPr="000F1EC0">
        <w:rPr>
          <w:smallCaps w:val="0"/>
          <w:color w:val="003057"/>
          <w:sz w:val="22"/>
          <w:szCs w:val="22"/>
        </w:rPr>
        <w:t>de los asalariados</w:t>
      </w:r>
      <w:r w:rsidRPr="000F1EC0">
        <w:rPr>
          <w:smallCaps w:val="0"/>
          <w:color w:val="003057"/>
          <w:sz w:val="22"/>
          <w:szCs w:val="22"/>
        </w:rPr>
        <w:t>,</w:t>
      </w:r>
      <w:r w:rsidR="00F810F2" w:rsidRPr="000F1EC0">
        <w:rPr>
          <w:smallCaps w:val="0"/>
          <w:color w:val="003057"/>
          <w:sz w:val="22"/>
          <w:szCs w:val="22"/>
        </w:rPr>
        <w:t xml:space="preserve"> </w:t>
      </w:r>
    </w:p>
    <w:p w14:paraId="7E391295" w14:textId="6BB073D7" w:rsidR="00F810F2" w:rsidRPr="000F1EC0" w:rsidRDefault="00F810F2" w:rsidP="00F810F2">
      <w:pPr>
        <w:pStyle w:val="Titcuadrograf"/>
        <w:ind w:left="0"/>
        <w:rPr>
          <w:smallCaps w:val="0"/>
          <w:color w:val="003057"/>
          <w:sz w:val="22"/>
          <w:szCs w:val="22"/>
        </w:rPr>
      </w:pPr>
      <w:r w:rsidRPr="000F1EC0">
        <w:rPr>
          <w:smallCaps w:val="0"/>
          <w:color w:val="003057"/>
          <w:sz w:val="22"/>
          <w:szCs w:val="22"/>
        </w:rPr>
        <w:t>por entidad federativa</w:t>
      </w:r>
      <w:r w:rsidR="00A077B9" w:rsidRPr="000F1EC0">
        <w:rPr>
          <w:smallCaps w:val="0"/>
          <w:color w:val="003057"/>
          <w:position w:val="2"/>
          <w:sz w:val="22"/>
          <w:szCs w:val="22"/>
          <w:vertAlign w:val="superscript"/>
        </w:rPr>
        <w:t>1/</w:t>
      </w:r>
    </w:p>
    <w:p w14:paraId="6E8AD616" w14:textId="672906B5" w:rsidR="00F810F2" w:rsidRPr="00A077B9" w:rsidRDefault="005514A5" w:rsidP="00F810F2">
      <w:pPr>
        <w:pStyle w:val="Titcuadrograf"/>
        <w:ind w:left="0"/>
        <w:rPr>
          <w:b w:val="0"/>
          <w:bCs/>
          <w:smallCaps w:val="0"/>
          <w:color w:val="27251F"/>
          <w:sz w:val="20"/>
          <w:szCs w:val="20"/>
          <w:vertAlign w:val="superscript"/>
        </w:rPr>
      </w:pPr>
      <w:r w:rsidRPr="000F1EC0">
        <w:rPr>
          <w:b w:val="0"/>
          <w:bCs/>
          <w:smallCaps w:val="0"/>
          <w:color w:val="27251F"/>
          <w:sz w:val="20"/>
          <w:szCs w:val="20"/>
        </w:rPr>
        <w:t>primer trimestre de 2025</w:t>
      </w:r>
      <w:r w:rsidR="009073F7" w:rsidRPr="000F1EC0">
        <w:rPr>
          <w:b w:val="0"/>
          <w:bCs/>
          <w:smallCaps w:val="0"/>
          <w:color w:val="27251F"/>
          <w:position w:val="2"/>
          <w:sz w:val="20"/>
          <w:szCs w:val="20"/>
          <w:vertAlign w:val="superscript"/>
        </w:rPr>
        <w:t>2</w:t>
      </w:r>
      <w:r w:rsidR="00F810F2" w:rsidRPr="000F1EC0">
        <w:rPr>
          <w:b w:val="0"/>
          <w:bCs/>
          <w:smallCaps w:val="0"/>
          <w:color w:val="27251F"/>
          <w:position w:val="2"/>
          <w:sz w:val="20"/>
          <w:szCs w:val="20"/>
          <w:vertAlign w:val="superscript"/>
        </w:rPr>
        <w:t>/</w:t>
      </w:r>
    </w:p>
    <w:tbl>
      <w:tblPr>
        <w:tblStyle w:val="Tablaconcuadrcula"/>
        <w:tblW w:w="49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238"/>
        <w:gridCol w:w="4847"/>
      </w:tblGrid>
      <w:tr w:rsidR="007F23DE" w:rsidRPr="007F23DE" w14:paraId="44BE3499" w14:textId="77777777" w:rsidTr="00214241">
        <w:trPr>
          <w:trHeight w:val="506"/>
          <w:jc w:val="center"/>
        </w:trPr>
        <w:tc>
          <w:tcPr>
            <w:tcW w:w="4845" w:type="dxa"/>
            <w:shd w:val="clear" w:color="auto" w:fill="F2F2F2"/>
            <w:vAlign w:val="center"/>
          </w:tcPr>
          <w:p w14:paraId="5F4402DA" w14:textId="045F23D4" w:rsidR="00F810F2" w:rsidRPr="007F23DE" w:rsidRDefault="00F810F2" w:rsidP="00084F34">
            <w:pPr>
              <w:jc w:val="center"/>
              <w:rPr>
                <w:sz w:val="20"/>
              </w:rPr>
            </w:pPr>
            <w:r w:rsidRPr="00993B3F">
              <w:rPr>
                <w:color w:val="27251F"/>
                <w:sz w:val="18"/>
                <w:szCs w:val="22"/>
              </w:rPr>
              <w:t xml:space="preserve">Variación porcentual respecto </w:t>
            </w:r>
            <w:r w:rsidRPr="00993B3F">
              <w:rPr>
                <w:color w:val="27251F"/>
                <w:sz w:val="18"/>
                <w:szCs w:val="22"/>
              </w:rPr>
              <w:br/>
              <w:t xml:space="preserve">al </w:t>
            </w:r>
            <w:r w:rsidR="004C7F5B">
              <w:rPr>
                <w:color w:val="27251F"/>
                <w:sz w:val="18"/>
                <w:szCs w:val="22"/>
              </w:rPr>
              <w:t>primer</w:t>
            </w:r>
            <w:r w:rsidR="00D206FF">
              <w:rPr>
                <w:color w:val="27251F"/>
                <w:sz w:val="18"/>
                <w:szCs w:val="22"/>
              </w:rPr>
              <w:t xml:space="preserve"> trimestre</w:t>
            </w:r>
            <w:r w:rsidRPr="00993B3F">
              <w:rPr>
                <w:color w:val="27251F"/>
                <w:sz w:val="18"/>
                <w:szCs w:val="22"/>
              </w:rPr>
              <w:t xml:space="preserve"> de 202</w:t>
            </w:r>
            <w:r w:rsidR="004C7F5B">
              <w:rPr>
                <w:color w:val="27251F"/>
                <w:sz w:val="18"/>
                <w:szCs w:val="22"/>
              </w:rPr>
              <w:t>4</w:t>
            </w:r>
          </w:p>
        </w:tc>
        <w:tc>
          <w:tcPr>
            <w:tcW w:w="238" w:type="dxa"/>
          </w:tcPr>
          <w:p w14:paraId="4F2E3E96" w14:textId="77777777" w:rsidR="00F810F2" w:rsidRPr="007F23DE" w:rsidRDefault="00F810F2" w:rsidP="00084F34">
            <w:pPr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4847" w:type="dxa"/>
            <w:shd w:val="clear" w:color="auto" w:fill="F2F2F2"/>
            <w:vAlign w:val="center"/>
          </w:tcPr>
          <w:p w14:paraId="3C23CEB8" w14:textId="00D35CD4" w:rsidR="00F810F2" w:rsidRPr="007F23DE" w:rsidRDefault="00F810F2" w:rsidP="00084F34">
            <w:pPr>
              <w:jc w:val="center"/>
              <w:rPr>
                <w:sz w:val="20"/>
              </w:rPr>
            </w:pPr>
            <w:r w:rsidRPr="00993B3F">
              <w:rPr>
                <w:bCs/>
                <w:color w:val="27251F"/>
                <w:sz w:val="18"/>
                <w:szCs w:val="22"/>
              </w:rPr>
              <w:t>Contribución a la variación anual nacional</w:t>
            </w:r>
            <w:r w:rsidR="009073F7" w:rsidRPr="00993B3F">
              <w:rPr>
                <w:bCs/>
                <w:color w:val="27251F"/>
                <w:position w:val="2"/>
                <w:sz w:val="18"/>
                <w:szCs w:val="22"/>
                <w:vertAlign w:val="superscript"/>
              </w:rPr>
              <w:t>3</w:t>
            </w:r>
            <w:r w:rsidRPr="00993B3F">
              <w:rPr>
                <w:bCs/>
                <w:color w:val="27251F"/>
                <w:position w:val="2"/>
                <w:sz w:val="18"/>
                <w:szCs w:val="22"/>
                <w:vertAlign w:val="superscript"/>
              </w:rPr>
              <w:t>/</w:t>
            </w:r>
          </w:p>
        </w:tc>
      </w:tr>
      <w:tr w:rsidR="00F810F2" w:rsidRPr="00902E21" w14:paraId="2D949A7E" w14:textId="77777777" w:rsidTr="00214241">
        <w:tblPrEx>
          <w:tblCellMar>
            <w:left w:w="70" w:type="dxa"/>
            <w:right w:w="70" w:type="dxa"/>
          </w:tblCellMar>
        </w:tblPrEx>
        <w:trPr>
          <w:trHeight w:val="8504"/>
          <w:jc w:val="center"/>
        </w:trPr>
        <w:tc>
          <w:tcPr>
            <w:tcW w:w="4845" w:type="dxa"/>
            <w:vAlign w:val="center"/>
          </w:tcPr>
          <w:p w14:paraId="5151129B" w14:textId="27D89204" w:rsidR="00F810F2" w:rsidRPr="00902E21" w:rsidRDefault="00214241" w:rsidP="00084F34">
            <w:pPr>
              <w:ind w:left="-55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6659ED" wp14:editId="5A541EEC">
                  <wp:extent cx="3078000" cy="5400000"/>
                  <wp:effectExtent l="0" t="0" r="0" b="0"/>
                  <wp:docPr id="1610504153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7D84A3-EBE1-4E36-99F4-BF614CC8E8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14:paraId="2E439E4D" w14:textId="77777777" w:rsidR="00F810F2" w:rsidRPr="009073F7" w:rsidRDefault="00F810F2" w:rsidP="00084F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847" w:type="dxa"/>
            <w:vAlign w:val="center"/>
          </w:tcPr>
          <w:p w14:paraId="731CA937" w14:textId="5BD8EA2C" w:rsidR="00F810F2" w:rsidRPr="00902E21" w:rsidRDefault="00214241" w:rsidP="00084F34">
            <w:pPr>
              <w:ind w:left="-62" w:right="746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9C7699" wp14:editId="68331900">
                  <wp:extent cx="3078000" cy="5400000"/>
                  <wp:effectExtent l="0" t="0" r="0" b="0"/>
                  <wp:docPr id="1772449055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397500-705E-4915-A20D-C7CCF54A5F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14:paraId="38F7A2D3" w14:textId="77777777" w:rsidR="00F810F2" w:rsidRPr="00A077B9" w:rsidRDefault="00F810F2" w:rsidP="002E5368">
      <w:pPr>
        <w:pStyle w:val="p0"/>
        <w:keepLines w:val="0"/>
        <w:spacing w:before="0"/>
        <w:ind w:left="770" w:right="91" w:hanging="616"/>
        <w:rPr>
          <w:rFonts w:ascii="Arial" w:hAnsi="Arial"/>
          <w:bCs/>
          <w:color w:val="4D565E"/>
          <w:sz w:val="16"/>
          <w:szCs w:val="16"/>
        </w:rPr>
      </w:pPr>
      <w:r w:rsidRPr="00A077B9">
        <w:rPr>
          <w:rFonts w:ascii="Arial" w:hAnsi="Arial"/>
          <w:bCs/>
          <w:color w:val="4D565E"/>
          <w:position w:val="2"/>
          <w:sz w:val="16"/>
          <w:szCs w:val="16"/>
          <w:vertAlign w:val="superscript"/>
        </w:rPr>
        <w:t>1/</w:t>
      </w:r>
      <w:r w:rsidRPr="00A077B9">
        <w:rPr>
          <w:rFonts w:ascii="Arial" w:hAnsi="Arial"/>
          <w:bCs/>
          <w:color w:val="4D565E"/>
          <w:sz w:val="16"/>
          <w:szCs w:val="16"/>
          <w:vertAlign w:val="superscript"/>
        </w:rPr>
        <w:tab/>
      </w:r>
      <w:r w:rsidRPr="00A077B9">
        <w:rPr>
          <w:rFonts w:ascii="Arial" w:hAnsi="Arial"/>
          <w:bCs/>
          <w:color w:val="4D565E"/>
          <w:sz w:val="16"/>
          <w:szCs w:val="16"/>
        </w:rPr>
        <w:t>A precios corrientes.</w:t>
      </w:r>
    </w:p>
    <w:p w14:paraId="0F2E4455" w14:textId="69EADC74" w:rsidR="00F810F2" w:rsidRPr="00A077B9" w:rsidRDefault="009073F7" w:rsidP="002E5368">
      <w:pPr>
        <w:pStyle w:val="p0"/>
        <w:keepLines w:val="0"/>
        <w:spacing w:before="0"/>
        <w:ind w:left="770" w:right="91" w:hanging="616"/>
        <w:rPr>
          <w:rFonts w:ascii="Arial" w:hAnsi="Arial"/>
          <w:bCs/>
          <w:color w:val="4D565E"/>
          <w:sz w:val="16"/>
          <w:szCs w:val="16"/>
        </w:rPr>
      </w:pPr>
      <w:r w:rsidRPr="00A077B9">
        <w:rPr>
          <w:rFonts w:ascii="Arial" w:hAnsi="Arial"/>
          <w:bCs/>
          <w:color w:val="4D565E"/>
          <w:position w:val="2"/>
          <w:sz w:val="16"/>
          <w:szCs w:val="16"/>
          <w:vertAlign w:val="superscript"/>
        </w:rPr>
        <w:t>2</w:t>
      </w:r>
      <w:r w:rsidR="00F810F2" w:rsidRPr="00A077B9">
        <w:rPr>
          <w:rFonts w:ascii="Arial" w:hAnsi="Arial"/>
          <w:bCs/>
          <w:color w:val="4D565E"/>
          <w:position w:val="2"/>
          <w:sz w:val="16"/>
          <w:szCs w:val="16"/>
          <w:vertAlign w:val="superscript"/>
        </w:rPr>
        <w:t>/</w:t>
      </w:r>
      <w:r w:rsidR="00F810F2" w:rsidRPr="00A077B9">
        <w:rPr>
          <w:rFonts w:ascii="Arial" w:hAnsi="Arial"/>
          <w:bCs/>
          <w:color w:val="4D565E"/>
          <w:sz w:val="16"/>
          <w:szCs w:val="16"/>
          <w:vertAlign w:val="superscript"/>
        </w:rPr>
        <w:tab/>
      </w:r>
      <w:r w:rsidR="00F810F2" w:rsidRPr="00A077B9">
        <w:rPr>
          <w:rFonts w:ascii="Arial" w:hAnsi="Arial"/>
          <w:bCs/>
          <w:color w:val="4D565E"/>
          <w:sz w:val="16"/>
          <w:szCs w:val="16"/>
        </w:rPr>
        <w:t>Cifras preliminares.</w:t>
      </w:r>
    </w:p>
    <w:p w14:paraId="7D0035E2" w14:textId="24A88F83" w:rsidR="00F810F2" w:rsidRPr="00A077B9" w:rsidRDefault="009073F7" w:rsidP="002E5368">
      <w:pPr>
        <w:pStyle w:val="p0"/>
        <w:keepLines w:val="0"/>
        <w:spacing w:before="0"/>
        <w:ind w:left="770" w:right="91" w:hanging="616"/>
        <w:rPr>
          <w:rFonts w:ascii="Arial" w:hAnsi="Arial"/>
          <w:bCs/>
          <w:color w:val="4D565E"/>
          <w:spacing w:val="-2"/>
          <w:sz w:val="16"/>
          <w:szCs w:val="16"/>
        </w:rPr>
      </w:pPr>
      <w:r w:rsidRPr="00A077B9">
        <w:rPr>
          <w:rFonts w:ascii="Arial" w:hAnsi="Arial"/>
          <w:bCs/>
          <w:color w:val="4D565E"/>
          <w:position w:val="2"/>
          <w:sz w:val="16"/>
          <w:szCs w:val="16"/>
          <w:vertAlign w:val="superscript"/>
        </w:rPr>
        <w:t>3</w:t>
      </w:r>
      <w:r w:rsidR="00F810F2" w:rsidRPr="00A077B9">
        <w:rPr>
          <w:rFonts w:ascii="Arial" w:hAnsi="Arial"/>
          <w:bCs/>
          <w:color w:val="4D565E"/>
          <w:position w:val="2"/>
          <w:sz w:val="16"/>
          <w:szCs w:val="16"/>
          <w:vertAlign w:val="superscript"/>
        </w:rPr>
        <w:t>/</w:t>
      </w:r>
      <w:r w:rsidR="00F810F2" w:rsidRPr="00A077B9">
        <w:rPr>
          <w:rFonts w:ascii="Arial" w:hAnsi="Arial"/>
          <w:bCs/>
          <w:color w:val="4D565E"/>
          <w:sz w:val="16"/>
          <w:szCs w:val="16"/>
          <w:vertAlign w:val="superscript"/>
        </w:rPr>
        <w:tab/>
      </w:r>
      <w:r w:rsidR="00F810F2" w:rsidRPr="00A077B9">
        <w:rPr>
          <w:rFonts w:ascii="Arial" w:hAnsi="Arial"/>
          <w:bCs/>
          <w:color w:val="4D565E"/>
          <w:spacing w:val="-2"/>
          <w:sz w:val="16"/>
          <w:szCs w:val="16"/>
        </w:rPr>
        <w:t>Las contribuciones se obtienen ponderando las tasas de crecimiento con la participación que cada estado tiene en el indicador total.</w:t>
      </w:r>
    </w:p>
    <w:p w14:paraId="0C202A79" w14:textId="4EAFBC9C" w:rsidR="009073F7" w:rsidRPr="00A077B9" w:rsidRDefault="00F810F2" w:rsidP="002E5368">
      <w:pPr>
        <w:pStyle w:val="p0"/>
        <w:keepLines w:val="0"/>
        <w:spacing w:before="0"/>
        <w:ind w:left="770" w:right="91" w:hanging="616"/>
        <w:rPr>
          <w:rFonts w:ascii="Arial" w:hAnsi="Arial"/>
          <w:bCs/>
          <w:color w:val="4D565E"/>
          <w:sz w:val="16"/>
          <w:szCs w:val="16"/>
        </w:rPr>
      </w:pPr>
      <w:r w:rsidRPr="00A077B9">
        <w:rPr>
          <w:rFonts w:ascii="Arial" w:hAnsi="Arial"/>
          <w:bCs/>
          <w:color w:val="4D565E"/>
          <w:sz w:val="16"/>
          <w:szCs w:val="16"/>
        </w:rPr>
        <w:t>Fuente</w:t>
      </w:r>
      <w:r w:rsidRPr="00A077B9">
        <w:rPr>
          <w:rFonts w:ascii="Arial" w:hAnsi="Arial"/>
          <w:bCs/>
          <w:smallCaps/>
          <w:color w:val="4D565E"/>
          <w:sz w:val="16"/>
          <w:szCs w:val="16"/>
        </w:rPr>
        <w:t>:</w:t>
      </w:r>
      <w:r w:rsidRPr="00A077B9">
        <w:rPr>
          <w:rFonts w:ascii="Arial" w:hAnsi="Arial"/>
          <w:bCs/>
          <w:smallCaps/>
          <w:color w:val="4D565E"/>
          <w:sz w:val="16"/>
          <w:szCs w:val="16"/>
        </w:rPr>
        <w:tab/>
        <w:t xml:space="preserve">inegi. </w:t>
      </w:r>
      <w:r w:rsidRPr="00A077B9">
        <w:rPr>
          <w:rFonts w:ascii="Arial" w:hAnsi="Arial"/>
          <w:bCs/>
          <w:color w:val="4D565E"/>
          <w:sz w:val="16"/>
          <w:szCs w:val="16"/>
        </w:rPr>
        <w:t>Sistema de Cuentas Nacionales de México (</w:t>
      </w:r>
      <w:r w:rsidRPr="00A077B9">
        <w:rPr>
          <w:rFonts w:ascii="Arial" w:hAnsi="Arial"/>
          <w:bCs/>
          <w:smallCaps/>
          <w:color w:val="4D565E"/>
          <w:sz w:val="16"/>
          <w:szCs w:val="16"/>
        </w:rPr>
        <w:t>scnm</w:t>
      </w:r>
      <w:r w:rsidRPr="00A077B9">
        <w:rPr>
          <w:rFonts w:ascii="Arial" w:hAnsi="Arial"/>
          <w:bCs/>
          <w:color w:val="4D565E"/>
          <w:sz w:val="16"/>
          <w:szCs w:val="16"/>
        </w:rPr>
        <w:t xml:space="preserve">). </w:t>
      </w:r>
      <w:r w:rsidRPr="00A077B9">
        <w:rPr>
          <w:rFonts w:ascii="Arial" w:hAnsi="Arial"/>
          <w:color w:val="4D565E"/>
          <w:sz w:val="16"/>
          <w:szCs w:val="16"/>
        </w:rPr>
        <w:t>Mediciones Trimestrales de los Puestos de Trabajo y sus Remuneraciones por Entidad Federativa</w:t>
      </w:r>
      <w:r w:rsidRPr="00A077B9">
        <w:rPr>
          <w:rFonts w:ascii="Arial" w:hAnsi="Arial"/>
          <w:bCs/>
          <w:smallCaps/>
          <w:color w:val="4D565E"/>
          <w:sz w:val="16"/>
          <w:szCs w:val="16"/>
        </w:rPr>
        <w:t xml:space="preserve"> (mtptref), </w:t>
      </w:r>
      <w:r w:rsidRPr="00A077B9">
        <w:rPr>
          <w:rFonts w:ascii="Arial" w:hAnsi="Arial"/>
          <w:bCs/>
          <w:color w:val="4D565E"/>
          <w:sz w:val="16"/>
          <w:szCs w:val="16"/>
        </w:rPr>
        <w:t>202</w:t>
      </w:r>
      <w:r w:rsidR="00926D4B">
        <w:rPr>
          <w:rFonts w:ascii="Arial" w:hAnsi="Arial"/>
          <w:bCs/>
          <w:color w:val="4D565E"/>
          <w:sz w:val="16"/>
          <w:szCs w:val="16"/>
        </w:rPr>
        <w:t>5</w:t>
      </w:r>
      <w:r w:rsidRPr="00A077B9">
        <w:rPr>
          <w:rFonts w:ascii="Arial" w:hAnsi="Arial"/>
          <w:bCs/>
          <w:color w:val="4D565E"/>
          <w:sz w:val="16"/>
          <w:szCs w:val="16"/>
        </w:rPr>
        <w:t>.</w:t>
      </w:r>
    </w:p>
    <w:p w14:paraId="56EB7EB6" w14:textId="37FBBC80" w:rsidR="00EE1F92" w:rsidRPr="00A077B9" w:rsidRDefault="00EE1F92" w:rsidP="002E5368">
      <w:pPr>
        <w:keepNext/>
        <w:keepLines/>
        <w:spacing w:after="240"/>
        <w:jc w:val="center"/>
        <w:rPr>
          <w:b/>
          <w:bCs/>
          <w:smallCaps/>
          <w:sz w:val="26"/>
          <w:szCs w:val="26"/>
          <w:lang w:val="es-MX"/>
        </w:rPr>
      </w:pPr>
      <w:r w:rsidRPr="00A077B9">
        <w:rPr>
          <w:b/>
          <w:bCs/>
          <w:smallCaps/>
          <w:sz w:val="26"/>
          <w:szCs w:val="26"/>
          <w:lang w:val="es-MX"/>
        </w:rPr>
        <w:lastRenderedPageBreak/>
        <w:t>i</w:t>
      </w:r>
      <w:r w:rsidR="007C6A52" w:rsidRPr="00A077B9">
        <w:rPr>
          <w:b/>
          <w:bCs/>
          <w:smallCaps/>
          <w:sz w:val="26"/>
          <w:szCs w:val="26"/>
          <w:lang w:val="es-MX"/>
        </w:rPr>
        <w:t>ii</w:t>
      </w:r>
      <w:r w:rsidRPr="00A077B9">
        <w:rPr>
          <w:b/>
          <w:bCs/>
          <w:smallCaps/>
          <w:sz w:val="26"/>
          <w:szCs w:val="26"/>
          <w:lang w:val="es-MX"/>
        </w:rPr>
        <w:t xml:space="preserve">. </w:t>
      </w:r>
      <w:r w:rsidR="009073F7" w:rsidRPr="00A077B9">
        <w:rPr>
          <w:b/>
          <w:bCs/>
          <w:smallCaps/>
          <w:sz w:val="26"/>
          <w:szCs w:val="26"/>
          <w:lang w:val="es-MX"/>
        </w:rPr>
        <w:t>ficha metodológica</w:t>
      </w:r>
    </w:p>
    <w:tbl>
      <w:tblPr>
        <w:tblStyle w:val="Tablaconcuadrcula"/>
        <w:tblW w:w="5000" w:type="pct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96"/>
      </w:tblGrid>
      <w:tr w:rsidR="00217A9C" w:rsidRPr="000E13F1" w14:paraId="63C2EF00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bookmarkEnd w:id="0"/>
          <w:p w14:paraId="62D2A73B" w14:textId="77777777" w:rsidR="002B17DE" w:rsidRPr="000E13F1" w:rsidRDefault="002B17DE" w:rsidP="002E5368">
            <w:pPr>
              <w:pStyle w:val="Textoindependiente"/>
              <w:keepNext/>
              <w:keepLines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Objetivo</w:t>
            </w:r>
          </w:p>
        </w:tc>
        <w:tc>
          <w:tcPr>
            <w:tcW w:w="7694" w:type="dxa"/>
            <w:vAlign w:val="center"/>
          </w:tcPr>
          <w:p w14:paraId="466675D3" w14:textId="01E99DCF" w:rsidR="002B17DE" w:rsidRPr="002C30B3" w:rsidRDefault="002B17DE" w:rsidP="002E5368">
            <w:pPr>
              <w:keepNext/>
              <w:keepLines/>
              <w:ind w:left="142" w:right="142"/>
              <w:rPr>
                <w:sz w:val="16"/>
                <w:szCs w:val="16"/>
                <w:highlight w:val="yellow"/>
              </w:rPr>
            </w:pPr>
            <w:r w:rsidRPr="002C30B3">
              <w:rPr>
                <w:sz w:val="16"/>
                <w:szCs w:val="16"/>
              </w:rPr>
              <w:t xml:space="preserve">Las </w:t>
            </w:r>
            <w:r w:rsidR="00926D4B" w:rsidRPr="002C30B3">
              <w:rPr>
                <w:sz w:val="16"/>
                <w:szCs w:val="16"/>
              </w:rPr>
              <w:t>Mediciones Trimestrales de los Puestos de Trabajo y sus Remuneraciones por Entidad Federativa (</w:t>
            </w:r>
            <w:r w:rsidRPr="002C30B3">
              <w:rPr>
                <w:smallCaps/>
                <w:sz w:val="16"/>
                <w:szCs w:val="16"/>
              </w:rPr>
              <w:t>mtptref</w:t>
            </w:r>
            <w:r w:rsidR="00926D4B" w:rsidRPr="002C30B3">
              <w:rPr>
                <w:smallCaps/>
                <w:sz w:val="16"/>
                <w:szCs w:val="16"/>
              </w:rPr>
              <w:t xml:space="preserve">) </w:t>
            </w:r>
            <w:r w:rsidRPr="002C30B3">
              <w:rPr>
                <w:sz w:val="16"/>
                <w:szCs w:val="16"/>
              </w:rPr>
              <w:t>ofrecen información estadística de coyuntura de los puestos de trabajo y las remuneraciones a nivel nacional y por entidad federativa. La serie brinda a</w:t>
            </w:r>
            <w:r w:rsidR="0087031F">
              <w:rPr>
                <w:sz w:val="16"/>
                <w:szCs w:val="16"/>
              </w:rPr>
              <w:t xml:space="preserve"> las y</w:t>
            </w:r>
            <w:r w:rsidRPr="002C30B3">
              <w:rPr>
                <w:sz w:val="16"/>
                <w:szCs w:val="16"/>
              </w:rPr>
              <w:t xml:space="preserve"> los usuarios una visión pormenorizada del dinamismo del mercado de trabajo a nivel regional, al tiempo que muestra el aporte de las remuneraciones al valor agregado de las entidades federativas y del país.</w:t>
            </w:r>
          </w:p>
        </w:tc>
      </w:tr>
      <w:tr w:rsidR="00217A9C" w:rsidRPr="000E13F1" w14:paraId="23ADE8E8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4857BA8D" w14:textId="77777777" w:rsidR="002B17DE" w:rsidRPr="000E13F1" w:rsidRDefault="002B17DE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Antecedentes</w:t>
            </w:r>
          </w:p>
        </w:tc>
        <w:tc>
          <w:tcPr>
            <w:tcW w:w="7694" w:type="dxa"/>
            <w:vAlign w:val="center"/>
          </w:tcPr>
          <w:p w14:paraId="5904AEAC" w14:textId="2CF3D191" w:rsidR="002B17DE" w:rsidRPr="002C30B3" w:rsidRDefault="002B17DE" w:rsidP="00B27962">
            <w:pPr>
              <w:ind w:left="142" w:right="142"/>
              <w:rPr>
                <w:sz w:val="16"/>
                <w:szCs w:val="16"/>
              </w:rPr>
            </w:pPr>
            <w:r w:rsidRPr="002C30B3">
              <w:rPr>
                <w:sz w:val="16"/>
                <w:szCs w:val="16"/>
              </w:rPr>
              <w:t xml:space="preserve">La primera publicación de la ocupación nacional </w:t>
            </w:r>
            <w:r w:rsidR="000C2353" w:rsidRPr="002C30B3">
              <w:rPr>
                <w:sz w:val="16"/>
                <w:szCs w:val="16"/>
              </w:rPr>
              <w:t xml:space="preserve">con periodicidad </w:t>
            </w:r>
            <w:r w:rsidRPr="002C30B3">
              <w:rPr>
                <w:sz w:val="16"/>
                <w:szCs w:val="16"/>
              </w:rPr>
              <w:t>anual se presentó con la serie 1980 a 1994, año base 1980; mientras que la serie 1993 a 2006 tomó como año base 1993</w:t>
            </w:r>
            <w:r w:rsidR="00C111C4">
              <w:rPr>
                <w:sz w:val="16"/>
                <w:szCs w:val="16"/>
              </w:rPr>
              <w:t xml:space="preserve">, misma que </w:t>
            </w:r>
            <w:r w:rsidR="000C2353" w:rsidRPr="002C30B3">
              <w:rPr>
                <w:sz w:val="16"/>
                <w:szCs w:val="16"/>
              </w:rPr>
              <w:t>se ha actualizado hasta el año 2023</w:t>
            </w:r>
            <w:r w:rsidR="00FE3806" w:rsidRPr="002C30B3">
              <w:rPr>
                <w:sz w:val="16"/>
                <w:szCs w:val="16"/>
              </w:rPr>
              <w:t>,</w:t>
            </w:r>
            <w:r w:rsidR="000C2353" w:rsidRPr="002C30B3">
              <w:rPr>
                <w:sz w:val="16"/>
                <w:szCs w:val="16"/>
              </w:rPr>
              <w:t xml:space="preserve"> con año base 2018.</w:t>
            </w:r>
            <w:r w:rsidR="000E13F1" w:rsidRPr="002C30B3">
              <w:rPr>
                <w:sz w:val="16"/>
                <w:szCs w:val="16"/>
              </w:rPr>
              <w:t xml:space="preserve"> </w:t>
            </w:r>
            <w:r w:rsidRPr="002C30B3">
              <w:rPr>
                <w:sz w:val="16"/>
                <w:szCs w:val="16"/>
              </w:rPr>
              <w:t>Actualmente, se presenta</w:t>
            </w:r>
            <w:r w:rsidR="00FE3806" w:rsidRPr="002C30B3">
              <w:rPr>
                <w:sz w:val="16"/>
                <w:szCs w:val="16"/>
              </w:rPr>
              <w:t>n cálculos de corto plazo de la ocupación</w:t>
            </w:r>
            <w:r w:rsidR="000E13F1" w:rsidRPr="002C30B3">
              <w:rPr>
                <w:sz w:val="16"/>
                <w:szCs w:val="16"/>
              </w:rPr>
              <w:t>.</w:t>
            </w:r>
          </w:p>
        </w:tc>
      </w:tr>
      <w:tr w:rsidR="00217A9C" w:rsidRPr="000E13F1" w14:paraId="1459F583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61CCDFC0" w14:textId="77777777" w:rsidR="002B17DE" w:rsidRPr="000E13F1" w:rsidRDefault="002B17DE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Año base</w:t>
            </w:r>
          </w:p>
        </w:tc>
        <w:tc>
          <w:tcPr>
            <w:tcW w:w="7694" w:type="dxa"/>
            <w:vAlign w:val="center"/>
          </w:tcPr>
          <w:p w14:paraId="0BB0AFEE" w14:textId="578A1286" w:rsidR="002B17DE" w:rsidRPr="002C30B3" w:rsidRDefault="002B17DE" w:rsidP="00B27962">
            <w:pPr>
              <w:ind w:left="142" w:right="142"/>
              <w:rPr>
                <w:sz w:val="16"/>
                <w:szCs w:val="16"/>
              </w:rPr>
            </w:pPr>
            <w:r w:rsidRPr="002C30B3">
              <w:rPr>
                <w:sz w:val="16"/>
                <w:szCs w:val="16"/>
              </w:rPr>
              <w:t xml:space="preserve">Los datos de las </w:t>
            </w:r>
            <w:r w:rsidRPr="002C30B3">
              <w:rPr>
                <w:smallCaps/>
                <w:sz w:val="16"/>
                <w:szCs w:val="16"/>
              </w:rPr>
              <w:t>mtptref</w:t>
            </w:r>
            <w:r w:rsidRPr="002C30B3">
              <w:rPr>
                <w:sz w:val="16"/>
                <w:szCs w:val="16"/>
              </w:rPr>
              <w:t xml:space="preserve"> están disponibles desde el primer trimestre de 2005 y se expresan en </w:t>
            </w:r>
            <w:r w:rsidR="00977AAB" w:rsidRPr="002C30B3">
              <w:rPr>
                <w:sz w:val="16"/>
                <w:szCs w:val="16"/>
              </w:rPr>
              <w:t xml:space="preserve">unidades de puestos de trabajo y </w:t>
            </w:r>
            <w:r w:rsidRPr="002C30B3">
              <w:rPr>
                <w:sz w:val="16"/>
                <w:szCs w:val="16"/>
              </w:rPr>
              <w:t>millones de pesos a precios corrientes</w:t>
            </w:r>
            <w:r w:rsidR="007E23F6" w:rsidRPr="002C30B3">
              <w:rPr>
                <w:sz w:val="16"/>
                <w:szCs w:val="16"/>
              </w:rPr>
              <w:t xml:space="preserve"> con base en el año 2018</w:t>
            </w:r>
            <w:r w:rsidRPr="002C30B3">
              <w:rPr>
                <w:sz w:val="16"/>
                <w:szCs w:val="16"/>
              </w:rPr>
              <w:t>.</w:t>
            </w:r>
          </w:p>
        </w:tc>
      </w:tr>
      <w:tr w:rsidR="00217A9C" w:rsidRPr="000E13F1" w14:paraId="257B71C5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6298B695" w14:textId="77777777" w:rsidR="002B17DE" w:rsidRPr="000E13F1" w:rsidRDefault="002B17DE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Fuentes de información</w:t>
            </w:r>
          </w:p>
        </w:tc>
        <w:tc>
          <w:tcPr>
            <w:tcW w:w="7694" w:type="dxa"/>
            <w:vAlign w:val="center"/>
          </w:tcPr>
          <w:p w14:paraId="17A163B9" w14:textId="13D67A90" w:rsidR="00977AAB" w:rsidRPr="002C30B3" w:rsidRDefault="00872434" w:rsidP="00A137E3">
            <w:pPr>
              <w:ind w:left="142" w:right="142"/>
              <w:rPr>
                <w:sz w:val="16"/>
                <w:szCs w:val="16"/>
              </w:rPr>
            </w:pPr>
            <w:r w:rsidRPr="002C30B3">
              <w:rPr>
                <w:rStyle w:val="ui-provider"/>
                <w:sz w:val="16"/>
                <w:szCs w:val="16"/>
              </w:rPr>
              <w:t xml:space="preserve">Las principales fuentes de información para el cálculo de las </w:t>
            </w:r>
            <w:r w:rsidRPr="002C30B3">
              <w:rPr>
                <w:rStyle w:val="ui-provider"/>
                <w:smallCaps/>
                <w:sz w:val="16"/>
                <w:szCs w:val="16"/>
              </w:rPr>
              <w:t>mtptref</w:t>
            </w:r>
            <w:r w:rsidRPr="002C30B3">
              <w:rPr>
                <w:rStyle w:val="ui-provider"/>
                <w:sz w:val="16"/>
                <w:szCs w:val="16"/>
              </w:rPr>
              <w:t xml:space="preserve"> son la</w:t>
            </w:r>
            <w:r w:rsidR="00FE3806" w:rsidRPr="002C30B3">
              <w:rPr>
                <w:rStyle w:val="ui-provider"/>
                <w:sz w:val="16"/>
                <w:szCs w:val="16"/>
              </w:rPr>
              <w:t xml:space="preserve"> Encuesta Nacional de Ocupación y Empleo</w:t>
            </w:r>
            <w:r w:rsidRPr="002C30B3">
              <w:rPr>
                <w:rStyle w:val="ui-provider"/>
                <w:sz w:val="16"/>
                <w:szCs w:val="16"/>
              </w:rPr>
              <w:t xml:space="preserve"> </w:t>
            </w:r>
            <w:r w:rsidR="00FE3806" w:rsidRPr="002C30B3">
              <w:rPr>
                <w:rStyle w:val="ui-provider"/>
                <w:sz w:val="16"/>
                <w:szCs w:val="16"/>
              </w:rPr>
              <w:t>(</w:t>
            </w:r>
            <w:r w:rsidRPr="002C30B3">
              <w:rPr>
                <w:rStyle w:val="ui-provider"/>
                <w:smallCaps/>
                <w:sz w:val="16"/>
                <w:szCs w:val="16"/>
              </w:rPr>
              <w:t>enoe</w:t>
            </w:r>
            <w:r w:rsidR="00FE3806" w:rsidRPr="002C30B3">
              <w:rPr>
                <w:rStyle w:val="ui-provider"/>
                <w:smallCaps/>
                <w:sz w:val="16"/>
                <w:szCs w:val="16"/>
              </w:rPr>
              <w:t>)</w:t>
            </w:r>
            <w:r w:rsidRPr="002C30B3">
              <w:rPr>
                <w:rStyle w:val="ui-provider"/>
                <w:sz w:val="16"/>
                <w:szCs w:val="16"/>
              </w:rPr>
              <w:t>, Instituto Mexicano del Seguro Social</w:t>
            </w:r>
            <w:r w:rsidR="00FE3806" w:rsidRPr="002C30B3">
              <w:rPr>
                <w:rStyle w:val="ui-provider"/>
                <w:sz w:val="16"/>
                <w:szCs w:val="16"/>
              </w:rPr>
              <w:t>,</w:t>
            </w:r>
            <w:r w:rsidR="000E13F1" w:rsidRPr="002C30B3">
              <w:rPr>
                <w:rStyle w:val="ui-provider"/>
                <w:sz w:val="16"/>
                <w:szCs w:val="16"/>
              </w:rPr>
              <w:t xml:space="preserve"> </w:t>
            </w:r>
            <w:r w:rsidR="00FE3806" w:rsidRPr="002C30B3">
              <w:rPr>
                <w:rStyle w:val="ui-provider"/>
                <w:sz w:val="16"/>
                <w:szCs w:val="16"/>
              </w:rPr>
              <w:t>Encuesta Nacional de Empresas Constructoras (</w:t>
            </w:r>
            <w:r w:rsidR="00FE3806" w:rsidRPr="002C30B3">
              <w:rPr>
                <w:rStyle w:val="ui-provider"/>
                <w:smallCaps/>
                <w:sz w:val="16"/>
                <w:szCs w:val="16"/>
              </w:rPr>
              <w:t>enec</w:t>
            </w:r>
            <w:r w:rsidR="00FE3806" w:rsidRPr="002C30B3">
              <w:rPr>
                <w:rStyle w:val="ui-provider"/>
                <w:sz w:val="16"/>
                <w:szCs w:val="16"/>
              </w:rPr>
              <w:t>), Encuesta Mensual de la Industria Manufacturera (</w:t>
            </w:r>
            <w:r w:rsidR="00FE3806" w:rsidRPr="002C30B3">
              <w:rPr>
                <w:rStyle w:val="ui-provider"/>
                <w:smallCaps/>
                <w:sz w:val="16"/>
                <w:szCs w:val="16"/>
              </w:rPr>
              <w:t>emim)</w:t>
            </w:r>
            <w:r w:rsidR="00FE3806" w:rsidRPr="002C30B3">
              <w:rPr>
                <w:rStyle w:val="ui-provider"/>
                <w:sz w:val="16"/>
                <w:szCs w:val="16"/>
              </w:rPr>
              <w:t>, Encuesta Mensual sobre Empresas Comerciales (</w:t>
            </w:r>
            <w:r w:rsidR="00FE3806" w:rsidRPr="002C30B3">
              <w:rPr>
                <w:rStyle w:val="ui-provider"/>
                <w:smallCaps/>
                <w:sz w:val="16"/>
                <w:szCs w:val="16"/>
              </w:rPr>
              <w:t>emec</w:t>
            </w:r>
            <w:r w:rsidR="00FE3806" w:rsidRPr="002C30B3">
              <w:rPr>
                <w:rStyle w:val="ui-provider"/>
                <w:sz w:val="16"/>
                <w:szCs w:val="16"/>
              </w:rPr>
              <w:t>) y Encuesta Mensual de Servicios (</w:t>
            </w:r>
            <w:r w:rsidR="00FE3806" w:rsidRPr="002C30B3">
              <w:rPr>
                <w:rStyle w:val="ui-provider"/>
                <w:smallCaps/>
                <w:sz w:val="16"/>
                <w:szCs w:val="16"/>
              </w:rPr>
              <w:t>ems</w:t>
            </w:r>
            <w:r w:rsidR="00FE3806" w:rsidRPr="002C30B3">
              <w:rPr>
                <w:rStyle w:val="ui-provider"/>
                <w:sz w:val="16"/>
                <w:szCs w:val="16"/>
              </w:rPr>
              <w:t>)</w:t>
            </w:r>
            <w:r w:rsidRPr="002C30B3">
              <w:rPr>
                <w:rStyle w:val="ui-provider"/>
                <w:sz w:val="16"/>
                <w:szCs w:val="16"/>
              </w:rPr>
              <w:t>.</w:t>
            </w:r>
            <w:r w:rsidR="00A137E3">
              <w:rPr>
                <w:sz w:val="16"/>
                <w:szCs w:val="16"/>
              </w:rPr>
              <w:t xml:space="preserve"> </w:t>
            </w:r>
            <w:r w:rsidR="00977AAB" w:rsidRPr="002C30B3">
              <w:rPr>
                <w:sz w:val="16"/>
                <w:szCs w:val="16"/>
              </w:rPr>
              <w:t>De</w:t>
            </w:r>
            <w:r w:rsidR="0046086B" w:rsidRPr="002C30B3">
              <w:rPr>
                <w:sz w:val="16"/>
                <w:szCs w:val="16"/>
              </w:rPr>
              <w:t xml:space="preserve">l </w:t>
            </w:r>
            <w:r w:rsidR="0046086B" w:rsidRPr="002C30B3">
              <w:rPr>
                <w:color w:val="000000" w:themeColor="text1"/>
                <w:sz w:val="16"/>
                <w:szCs w:val="16"/>
              </w:rPr>
              <w:t>Sistema de Cuentas Nacionales de México (</w:t>
            </w:r>
            <w:r w:rsidR="00977AAB" w:rsidRPr="002C30B3">
              <w:rPr>
                <w:smallCaps/>
                <w:sz w:val="16"/>
                <w:szCs w:val="16"/>
              </w:rPr>
              <w:t>scnm</w:t>
            </w:r>
            <w:r w:rsidR="0046086B" w:rsidRPr="002C30B3">
              <w:rPr>
                <w:smallCaps/>
                <w:sz w:val="16"/>
                <w:szCs w:val="16"/>
              </w:rPr>
              <w:t>)</w:t>
            </w:r>
            <w:r w:rsidR="00977AAB" w:rsidRPr="002C30B3">
              <w:rPr>
                <w:sz w:val="16"/>
                <w:szCs w:val="16"/>
              </w:rPr>
              <w:t xml:space="preserve"> se consultan las Cuentas</w:t>
            </w:r>
            <w:r w:rsidR="003F3971">
              <w:rPr>
                <w:sz w:val="16"/>
                <w:szCs w:val="16"/>
              </w:rPr>
              <w:t xml:space="preserve"> </w:t>
            </w:r>
            <w:r w:rsidR="00977AAB" w:rsidRPr="002C30B3">
              <w:rPr>
                <w:sz w:val="16"/>
                <w:szCs w:val="16"/>
              </w:rPr>
              <w:t>de</w:t>
            </w:r>
            <w:r w:rsidR="003F3971">
              <w:rPr>
                <w:sz w:val="16"/>
                <w:szCs w:val="16"/>
              </w:rPr>
              <w:t xml:space="preserve"> </w:t>
            </w:r>
            <w:r w:rsidR="00977AAB" w:rsidRPr="002C30B3">
              <w:rPr>
                <w:sz w:val="16"/>
                <w:szCs w:val="16"/>
              </w:rPr>
              <w:t>Bienes</w:t>
            </w:r>
            <w:r w:rsidR="003F3971">
              <w:rPr>
                <w:sz w:val="16"/>
                <w:szCs w:val="16"/>
              </w:rPr>
              <w:t xml:space="preserve"> </w:t>
            </w:r>
            <w:r w:rsidR="00977AAB" w:rsidRPr="002C30B3">
              <w:rPr>
                <w:sz w:val="16"/>
                <w:szCs w:val="16"/>
              </w:rPr>
              <w:t>y</w:t>
            </w:r>
            <w:r w:rsidR="003F3971">
              <w:rPr>
                <w:sz w:val="16"/>
                <w:szCs w:val="16"/>
              </w:rPr>
              <w:t xml:space="preserve"> </w:t>
            </w:r>
            <w:r w:rsidR="00977AAB" w:rsidRPr="002C30B3">
              <w:rPr>
                <w:sz w:val="16"/>
                <w:szCs w:val="16"/>
              </w:rPr>
              <w:t>Servicios</w:t>
            </w:r>
            <w:r w:rsidR="003F3971">
              <w:rPr>
                <w:sz w:val="16"/>
                <w:szCs w:val="16"/>
              </w:rPr>
              <w:t xml:space="preserve"> </w:t>
            </w:r>
            <w:r w:rsidR="0046086B" w:rsidRPr="002C30B3">
              <w:rPr>
                <w:sz w:val="16"/>
                <w:szCs w:val="16"/>
              </w:rPr>
              <w:t>(</w:t>
            </w:r>
            <w:r w:rsidR="0046086B" w:rsidRPr="002C30B3">
              <w:rPr>
                <w:smallCaps/>
                <w:sz w:val="16"/>
                <w:szCs w:val="16"/>
              </w:rPr>
              <w:t>cbs</w:t>
            </w:r>
            <w:r w:rsidR="0046086B" w:rsidRPr="002C30B3">
              <w:rPr>
                <w:sz w:val="16"/>
                <w:szCs w:val="16"/>
              </w:rPr>
              <w:t xml:space="preserve">), </w:t>
            </w:r>
            <w:r w:rsidR="00977AAB" w:rsidRPr="002C30B3">
              <w:rPr>
                <w:sz w:val="16"/>
                <w:szCs w:val="16"/>
              </w:rPr>
              <w:t xml:space="preserve">el Producto Interno Bruto </w:t>
            </w:r>
            <w:r w:rsidR="00B27962">
              <w:rPr>
                <w:sz w:val="16"/>
                <w:szCs w:val="16"/>
              </w:rPr>
              <w:t>T</w:t>
            </w:r>
            <w:r w:rsidR="00977AAB" w:rsidRPr="002C30B3">
              <w:rPr>
                <w:sz w:val="16"/>
                <w:szCs w:val="16"/>
              </w:rPr>
              <w:t>rimestral, el Producto Interno Bruto por Entidad Federativa (</w:t>
            </w:r>
            <w:r w:rsidR="00977AAB" w:rsidRPr="002C30B3">
              <w:rPr>
                <w:smallCaps/>
                <w:sz w:val="16"/>
                <w:szCs w:val="16"/>
              </w:rPr>
              <w:t>pibe</w:t>
            </w:r>
            <w:r w:rsidR="00977AAB" w:rsidRPr="002C30B3">
              <w:rPr>
                <w:sz w:val="16"/>
                <w:szCs w:val="16"/>
              </w:rPr>
              <w:t xml:space="preserve">), la Medición de la Economía Informal </w:t>
            </w:r>
            <w:r w:rsidR="0046086B" w:rsidRPr="002C30B3">
              <w:rPr>
                <w:sz w:val="16"/>
                <w:szCs w:val="16"/>
              </w:rPr>
              <w:t>(</w:t>
            </w:r>
            <w:r w:rsidR="0046086B" w:rsidRPr="002C30B3">
              <w:rPr>
                <w:smallCaps/>
                <w:sz w:val="16"/>
                <w:szCs w:val="16"/>
              </w:rPr>
              <w:t>mei</w:t>
            </w:r>
            <w:r w:rsidR="0046086B" w:rsidRPr="002C30B3">
              <w:rPr>
                <w:sz w:val="16"/>
                <w:szCs w:val="16"/>
              </w:rPr>
              <w:t xml:space="preserve">) </w:t>
            </w:r>
            <w:r w:rsidR="00977AAB" w:rsidRPr="002C30B3">
              <w:rPr>
                <w:sz w:val="16"/>
                <w:szCs w:val="16"/>
              </w:rPr>
              <w:t>y el Indicador Trimestral de la Actividad Económica Estatal (</w:t>
            </w:r>
            <w:r w:rsidR="00977AAB" w:rsidRPr="002C30B3">
              <w:rPr>
                <w:smallCaps/>
                <w:sz w:val="16"/>
                <w:szCs w:val="16"/>
              </w:rPr>
              <w:t>itaee</w:t>
            </w:r>
            <w:r w:rsidR="00977AAB" w:rsidRPr="002C30B3">
              <w:rPr>
                <w:sz w:val="16"/>
                <w:szCs w:val="16"/>
              </w:rPr>
              <w:t>).</w:t>
            </w:r>
          </w:p>
        </w:tc>
      </w:tr>
      <w:tr w:rsidR="00624C64" w:rsidRPr="000E13F1" w14:paraId="03FD2461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7975B3C2" w14:textId="028BE704" w:rsidR="00624C64" w:rsidRPr="000E13F1" w:rsidRDefault="00624C64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Cobertura</w:t>
            </w:r>
            <w:r w:rsidR="00CE715E">
              <w:rPr>
                <w:b/>
                <w:bCs/>
                <w:color w:val="auto"/>
                <w:spacing w:val="-1"/>
                <w:sz w:val="17"/>
                <w:szCs w:val="17"/>
              </w:rPr>
              <w:t xml:space="preserve"> </w:t>
            </w: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geográfica</w:t>
            </w:r>
          </w:p>
        </w:tc>
        <w:tc>
          <w:tcPr>
            <w:tcW w:w="7694" w:type="dxa"/>
            <w:vAlign w:val="center"/>
          </w:tcPr>
          <w:p w14:paraId="337E011A" w14:textId="72BF2D6F" w:rsidR="00624C64" w:rsidRPr="002C30B3" w:rsidRDefault="00624C64" w:rsidP="00B27962">
            <w:pPr>
              <w:ind w:left="142" w:right="142"/>
              <w:rPr>
                <w:rStyle w:val="ui-provider"/>
                <w:sz w:val="16"/>
                <w:szCs w:val="16"/>
              </w:rPr>
            </w:pPr>
            <w:r w:rsidRPr="002C30B3">
              <w:rPr>
                <w:sz w:val="16"/>
                <w:szCs w:val="16"/>
              </w:rPr>
              <w:t>Nacional y por entidad federativa</w:t>
            </w:r>
            <w:r w:rsidR="00804734">
              <w:rPr>
                <w:sz w:val="16"/>
                <w:szCs w:val="16"/>
              </w:rPr>
              <w:t>.</w:t>
            </w:r>
          </w:p>
        </w:tc>
      </w:tr>
      <w:tr w:rsidR="00624C64" w:rsidRPr="000E13F1" w14:paraId="75A14EA9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2E397B1C" w14:textId="0425BB65" w:rsidR="00624C64" w:rsidRPr="000E13F1" w:rsidRDefault="00624C64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 xml:space="preserve">Periodicidad </w:t>
            </w:r>
          </w:p>
        </w:tc>
        <w:tc>
          <w:tcPr>
            <w:tcW w:w="7694" w:type="dxa"/>
            <w:vAlign w:val="center"/>
          </w:tcPr>
          <w:p w14:paraId="6E34AB6C" w14:textId="2B3EEA25" w:rsidR="00624C64" w:rsidRPr="002C30B3" w:rsidRDefault="00624C64" w:rsidP="00B27962">
            <w:pPr>
              <w:ind w:left="142" w:right="142"/>
              <w:rPr>
                <w:rStyle w:val="ui-provider"/>
                <w:sz w:val="16"/>
                <w:szCs w:val="16"/>
              </w:rPr>
            </w:pPr>
            <w:r w:rsidRPr="002C30B3">
              <w:rPr>
                <w:sz w:val="16"/>
                <w:szCs w:val="16"/>
                <w:lang w:val="es-MX"/>
              </w:rPr>
              <w:t>Trimestral</w:t>
            </w:r>
            <w:r w:rsidR="00804734">
              <w:rPr>
                <w:sz w:val="16"/>
                <w:szCs w:val="16"/>
                <w:lang w:val="es-MX"/>
              </w:rPr>
              <w:t>.</w:t>
            </w:r>
          </w:p>
        </w:tc>
      </w:tr>
      <w:tr w:rsidR="00217A9C" w:rsidRPr="000E13F1" w14:paraId="72AA42F0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0BC869F0" w14:textId="16A8EC4F" w:rsidR="002B17DE" w:rsidRPr="000E13F1" w:rsidRDefault="00977AAB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 xml:space="preserve">Método de </w:t>
            </w:r>
            <w:r w:rsidR="00CE715E">
              <w:rPr>
                <w:b/>
                <w:bCs/>
                <w:color w:val="auto"/>
                <w:spacing w:val="-1"/>
                <w:sz w:val="17"/>
                <w:szCs w:val="17"/>
              </w:rPr>
              <w:t>c</w:t>
            </w: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álculo</w:t>
            </w:r>
          </w:p>
        </w:tc>
        <w:tc>
          <w:tcPr>
            <w:tcW w:w="7694" w:type="dxa"/>
            <w:vAlign w:val="center"/>
          </w:tcPr>
          <w:p w14:paraId="2B9488EF" w14:textId="5EA5DF6B" w:rsidR="002B17DE" w:rsidRPr="002C30B3" w:rsidRDefault="00160CDA" w:rsidP="00B27962">
            <w:pPr>
              <w:ind w:left="142" w:right="142"/>
              <w:rPr>
                <w:smallCaps/>
                <w:sz w:val="16"/>
                <w:szCs w:val="16"/>
              </w:rPr>
            </w:pPr>
            <w:r w:rsidRPr="002C30B3">
              <w:rPr>
                <w:sz w:val="16"/>
                <w:szCs w:val="16"/>
              </w:rPr>
              <w:t xml:space="preserve">Los cálculos de las </w:t>
            </w:r>
            <w:r w:rsidRPr="002C30B3">
              <w:rPr>
                <w:smallCaps/>
                <w:sz w:val="16"/>
                <w:szCs w:val="16"/>
              </w:rPr>
              <w:t>mtptref</w:t>
            </w:r>
            <w:r w:rsidRPr="002C30B3">
              <w:rPr>
                <w:sz w:val="16"/>
                <w:szCs w:val="16"/>
              </w:rPr>
              <w:t xml:space="preserve"> se elaboraron de acuerdo con la metodología del Sistema de Cuentas Nacionales</w:t>
            </w:r>
            <w:r w:rsidR="00CE715E" w:rsidRPr="002C30B3">
              <w:rPr>
                <w:sz w:val="16"/>
                <w:szCs w:val="16"/>
              </w:rPr>
              <w:t xml:space="preserve"> </w:t>
            </w:r>
            <w:r w:rsidRPr="002C30B3">
              <w:rPr>
                <w:sz w:val="16"/>
                <w:szCs w:val="16"/>
              </w:rPr>
              <w:t>(</w:t>
            </w:r>
            <w:r w:rsidRPr="002C30B3">
              <w:rPr>
                <w:smallCaps/>
                <w:sz w:val="16"/>
                <w:szCs w:val="16"/>
              </w:rPr>
              <w:t>scn</w:t>
            </w:r>
            <w:r w:rsidR="00E71AC9">
              <w:rPr>
                <w:smallCaps/>
                <w:sz w:val="16"/>
                <w:szCs w:val="16"/>
              </w:rPr>
              <w:t>)</w:t>
            </w:r>
            <w:r w:rsidR="00CE715E" w:rsidRPr="002C30B3">
              <w:rPr>
                <w:smallCaps/>
                <w:sz w:val="16"/>
                <w:szCs w:val="16"/>
              </w:rPr>
              <w:t xml:space="preserve"> 2008</w:t>
            </w:r>
            <w:r w:rsidRPr="002C30B3">
              <w:rPr>
                <w:sz w:val="16"/>
                <w:szCs w:val="16"/>
              </w:rPr>
              <w:t>, el Sistema Europeo de Cuentas Nacionales y Regionales 2010 y, particularmente, el «Manual de Métodos de Contabilidad Regional</w:t>
            </w:r>
            <w:r w:rsidR="00624C64" w:rsidRPr="002C30B3">
              <w:rPr>
                <w:sz w:val="16"/>
                <w:szCs w:val="16"/>
              </w:rPr>
              <w:t xml:space="preserve"> 201</w:t>
            </w:r>
            <w:r w:rsidR="000E13F1" w:rsidRPr="002C30B3">
              <w:rPr>
                <w:sz w:val="16"/>
                <w:szCs w:val="16"/>
              </w:rPr>
              <w:t>0</w:t>
            </w:r>
            <w:r w:rsidRPr="002C30B3">
              <w:rPr>
                <w:sz w:val="16"/>
                <w:szCs w:val="16"/>
              </w:rPr>
              <w:t>»</w:t>
            </w:r>
            <w:r w:rsidRPr="002C30B3">
              <w:rPr>
                <w:smallCaps/>
                <w:sz w:val="16"/>
                <w:szCs w:val="16"/>
              </w:rPr>
              <w:t>.</w:t>
            </w:r>
          </w:p>
          <w:p w14:paraId="70326A76" w14:textId="1AADF543" w:rsidR="00160CDA" w:rsidRPr="002C30B3" w:rsidRDefault="00160CDA" w:rsidP="00B27962">
            <w:pPr>
              <w:ind w:left="142" w:right="142"/>
              <w:rPr>
                <w:sz w:val="16"/>
                <w:szCs w:val="16"/>
              </w:rPr>
            </w:pPr>
            <w:r w:rsidRPr="002C30B3">
              <w:rPr>
                <w:sz w:val="16"/>
                <w:szCs w:val="16"/>
              </w:rPr>
              <w:t>Se obtienen matrices laborales por posición en la ocupación y sectores de actividad económica. Con</w:t>
            </w:r>
            <w:r w:rsidR="00263AC1">
              <w:rPr>
                <w:sz w:val="16"/>
                <w:szCs w:val="16"/>
              </w:rPr>
              <w:t> </w:t>
            </w:r>
            <w:r w:rsidRPr="002C30B3">
              <w:rPr>
                <w:sz w:val="16"/>
                <w:szCs w:val="16"/>
              </w:rPr>
              <w:t xml:space="preserve">información de las horas trabajadas, se calculan puestos de trabajo que equivalen a tiempo completo. En paralelo a la construcción demográfica de la matriz de puestos de trabajo, se detalló una matriz semejante </w:t>
            </w:r>
            <w:r w:rsidR="005309C9">
              <w:rPr>
                <w:sz w:val="16"/>
                <w:szCs w:val="16"/>
              </w:rPr>
              <w:t xml:space="preserve">que </w:t>
            </w:r>
            <w:r w:rsidRPr="002C30B3">
              <w:rPr>
                <w:sz w:val="16"/>
                <w:szCs w:val="16"/>
              </w:rPr>
              <w:t xml:space="preserve">utiliza datos de los censos y de las encuestas económicas. Al igual que los componentes de la producción, los puestos de trabajo se procesaron por tipo de producción y actividades económicas y se incorporó el suministro de personal y el personal no dependiente de la razón social. </w:t>
            </w:r>
            <w:r w:rsidR="00E43533">
              <w:rPr>
                <w:sz w:val="16"/>
                <w:szCs w:val="16"/>
              </w:rPr>
              <w:t xml:space="preserve">   </w:t>
            </w:r>
            <w:r w:rsidRPr="002C30B3">
              <w:rPr>
                <w:sz w:val="16"/>
                <w:szCs w:val="16"/>
              </w:rPr>
              <w:t>Así fue como se desagregaron los puestos de trabajo.</w:t>
            </w:r>
          </w:p>
          <w:p w14:paraId="2BF5BC93" w14:textId="12DB6B95" w:rsidR="00160CDA" w:rsidRPr="002C30B3" w:rsidRDefault="00160CDA" w:rsidP="00B27962">
            <w:pPr>
              <w:keepLines/>
              <w:ind w:left="142" w:right="142"/>
              <w:rPr>
                <w:sz w:val="16"/>
                <w:szCs w:val="16"/>
              </w:rPr>
            </w:pPr>
            <w:r w:rsidRPr="002C30B3">
              <w:rPr>
                <w:sz w:val="16"/>
                <w:szCs w:val="16"/>
              </w:rPr>
              <w:t>La compatibilización de las matrices de puestos de trabajo provenientes de fuentes de información demográfica y económica se realizó mediante un minucioso análisis de consistencia de datos. El</w:t>
            </w:r>
            <w:r w:rsidR="00263AC1">
              <w:rPr>
                <w:sz w:val="16"/>
                <w:szCs w:val="16"/>
              </w:rPr>
              <w:t> </w:t>
            </w:r>
            <w:r w:rsidRPr="002C30B3">
              <w:rPr>
                <w:sz w:val="16"/>
                <w:szCs w:val="16"/>
              </w:rPr>
              <w:t>método</w:t>
            </w:r>
            <w:r w:rsidR="00263AC1">
              <w:rPr>
                <w:sz w:val="16"/>
                <w:szCs w:val="16"/>
              </w:rPr>
              <w:t> </w:t>
            </w:r>
            <w:r w:rsidRPr="002C30B3">
              <w:rPr>
                <w:sz w:val="16"/>
                <w:szCs w:val="16"/>
              </w:rPr>
              <w:t>general de cálculo aplica la extrapolación de un indicador de evolución (índice) al año base. El</w:t>
            </w:r>
            <w:r w:rsidR="00263AC1">
              <w:rPr>
                <w:sz w:val="16"/>
                <w:szCs w:val="16"/>
              </w:rPr>
              <w:t> </w:t>
            </w:r>
            <w:r w:rsidRPr="002C30B3">
              <w:rPr>
                <w:sz w:val="16"/>
                <w:szCs w:val="16"/>
              </w:rPr>
              <w:t>indicador de evolución para los puestos de trabajo se realizó en unidades; las remuneraciones, en valores corrientes. Se emplean índices compuestos, simples o ponderados</w:t>
            </w:r>
            <w:r w:rsidR="002A5A03">
              <w:rPr>
                <w:sz w:val="16"/>
                <w:szCs w:val="16"/>
              </w:rPr>
              <w:t>,</w:t>
            </w:r>
            <w:r w:rsidRPr="002C30B3">
              <w:rPr>
                <w:sz w:val="16"/>
                <w:szCs w:val="16"/>
              </w:rPr>
              <w:t xml:space="preserve"> y la pertinencia de su uso se basa en una mayor asociación a los datos anuales de puestos y remuneraciones.</w:t>
            </w:r>
          </w:p>
          <w:p w14:paraId="63759247" w14:textId="51760216" w:rsidR="00624C64" w:rsidRPr="002C30B3" w:rsidRDefault="00624C64" w:rsidP="00B27962">
            <w:pPr>
              <w:ind w:left="142" w:right="142"/>
              <w:rPr>
                <w:sz w:val="16"/>
                <w:szCs w:val="16"/>
                <w:lang w:val="es-MX"/>
              </w:rPr>
            </w:pPr>
            <w:r w:rsidRPr="002C30B3">
              <w:rPr>
                <w:sz w:val="16"/>
                <w:szCs w:val="16"/>
                <w:lang w:val="es-MX"/>
              </w:rPr>
              <w:t xml:space="preserve">Los datos se alinean a los valores nacionales trimestrales y anuales por entidad federativa con la técnica proporcional </w:t>
            </w:r>
            <w:r w:rsidRPr="00E71AC9">
              <w:rPr>
                <w:sz w:val="16"/>
                <w:szCs w:val="16"/>
                <w:lang w:val="es-MX"/>
              </w:rPr>
              <w:t>Denton Bivariada</w:t>
            </w:r>
            <w:r w:rsidRPr="002C30B3">
              <w:rPr>
                <w:sz w:val="16"/>
                <w:szCs w:val="16"/>
                <w:lang w:val="es-MX"/>
              </w:rPr>
              <w:t>, lo que</w:t>
            </w:r>
            <w:r w:rsidRPr="002C30B3">
              <w:rPr>
                <w:sz w:val="16"/>
                <w:szCs w:val="16"/>
              </w:rPr>
              <w:t xml:space="preserve"> </w:t>
            </w:r>
            <w:r w:rsidRPr="002C30B3">
              <w:rPr>
                <w:sz w:val="16"/>
                <w:szCs w:val="16"/>
                <w:lang w:val="es-MX"/>
              </w:rPr>
              <w:t>preserva al máximo las variaciones de los datos de corto plazo.</w:t>
            </w:r>
          </w:p>
          <w:p w14:paraId="40BECC23" w14:textId="676D940C" w:rsidR="00FE3806" w:rsidRPr="002C30B3" w:rsidRDefault="00FE3806" w:rsidP="00B27962">
            <w:pPr>
              <w:keepLines/>
              <w:ind w:left="142" w:right="142"/>
              <w:rPr>
                <w:sz w:val="16"/>
                <w:szCs w:val="16"/>
              </w:rPr>
            </w:pPr>
            <w:r w:rsidRPr="002C30B3">
              <w:rPr>
                <w:sz w:val="16"/>
                <w:szCs w:val="16"/>
              </w:rPr>
              <w:t xml:space="preserve">Se presentan resultados sobre los puestos de trabajo dependientes de la razón social y sus remuneraciones para el total de las actividades primarias, secundarias y terciarias, </w:t>
            </w:r>
            <w:r w:rsidR="002103FF">
              <w:rPr>
                <w:sz w:val="16"/>
                <w:szCs w:val="16"/>
              </w:rPr>
              <w:t>así como de</w:t>
            </w:r>
            <w:r w:rsidRPr="002C30B3">
              <w:rPr>
                <w:sz w:val="16"/>
                <w:szCs w:val="16"/>
              </w:rPr>
              <w:t xml:space="preserve"> 19</w:t>
            </w:r>
            <w:r w:rsidR="00263AC1">
              <w:rPr>
                <w:sz w:val="16"/>
                <w:szCs w:val="16"/>
              </w:rPr>
              <w:t> </w:t>
            </w:r>
            <w:r w:rsidRPr="002C30B3">
              <w:rPr>
                <w:sz w:val="16"/>
                <w:szCs w:val="16"/>
              </w:rPr>
              <w:t>sectores.</w:t>
            </w:r>
          </w:p>
        </w:tc>
      </w:tr>
      <w:tr w:rsidR="00217A9C" w:rsidRPr="000E13F1" w14:paraId="7EDB190B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08D6E46E" w14:textId="77777777" w:rsidR="002B17DE" w:rsidRPr="000E13F1" w:rsidRDefault="002B17DE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pacing w:val="-1"/>
                <w:sz w:val="17"/>
                <w:szCs w:val="17"/>
              </w:rPr>
              <w:t>Publicación de resultados</w:t>
            </w:r>
          </w:p>
        </w:tc>
        <w:tc>
          <w:tcPr>
            <w:tcW w:w="7694" w:type="dxa"/>
            <w:vAlign w:val="center"/>
          </w:tcPr>
          <w:p w14:paraId="37061186" w14:textId="266D60DF" w:rsidR="002B17DE" w:rsidRPr="002C30B3" w:rsidRDefault="00217A9C" w:rsidP="00B27962">
            <w:pPr>
              <w:ind w:left="142" w:right="142"/>
              <w:rPr>
                <w:sz w:val="16"/>
                <w:szCs w:val="16"/>
              </w:rPr>
            </w:pPr>
            <w:r w:rsidRPr="002C30B3">
              <w:rPr>
                <w:sz w:val="16"/>
                <w:szCs w:val="16"/>
                <w:lang w:val="es-MX"/>
              </w:rPr>
              <w:t xml:space="preserve">Las </w:t>
            </w:r>
            <w:r w:rsidR="00624C64" w:rsidRPr="002C30B3">
              <w:rPr>
                <w:smallCaps/>
                <w:sz w:val="16"/>
                <w:szCs w:val="16"/>
              </w:rPr>
              <w:t>mtptref</w:t>
            </w:r>
            <w:r w:rsidR="00624C64" w:rsidRPr="002C30B3">
              <w:rPr>
                <w:sz w:val="16"/>
                <w:szCs w:val="16"/>
              </w:rPr>
              <w:t xml:space="preserve"> </w:t>
            </w:r>
            <w:r w:rsidRPr="002C30B3">
              <w:rPr>
                <w:sz w:val="16"/>
                <w:szCs w:val="16"/>
                <w:lang w:val="es-MX"/>
              </w:rPr>
              <w:t>se publican</w:t>
            </w:r>
            <w:r w:rsidR="005309C9">
              <w:rPr>
                <w:sz w:val="16"/>
                <w:szCs w:val="16"/>
                <w:lang w:val="es-MX"/>
              </w:rPr>
              <w:t>,</w:t>
            </w:r>
            <w:r w:rsidRPr="002C30B3">
              <w:rPr>
                <w:sz w:val="16"/>
                <w:szCs w:val="16"/>
                <w:lang w:val="es-MX"/>
              </w:rPr>
              <w:t xml:space="preserve"> en promedio</w:t>
            </w:r>
            <w:r w:rsidR="005309C9">
              <w:rPr>
                <w:sz w:val="16"/>
                <w:szCs w:val="16"/>
                <w:lang w:val="es-MX"/>
              </w:rPr>
              <w:t>,</w:t>
            </w:r>
            <w:r w:rsidRPr="002C30B3">
              <w:rPr>
                <w:sz w:val="16"/>
                <w:szCs w:val="16"/>
                <w:lang w:val="es-MX"/>
              </w:rPr>
              <w:t xml:space="preserve"> </w:t>
            </w:r>
            <w:r w:rsidRPr="00E71AC9">
              <w:rPr>
                <w:sz w:val="16"/>
                <w:szCs w:val="16"/>
                <w:lang w:val="es-MX"/>
              </w:rPr>
              <w:t>15</w:t>
            </w:r>
            <w:r w:rsidR="00E626C5" w:rsidRPr="00E71AC9">
              <w:rPr>
                <w:sz w:val="16"/>
                <w:szCs w:val="16"/>
                <w:lang w:val="es-MX"/>
              </w:rPr>
              <w:t>5</w:t>
            </w:r>
            <w:r w:rsidRPr="002C30B3">
              <w:rPr>
                <w:sz w:val="16"/>
                <w:szCs w:val="16"/>
                <w:lang w:val="es-MX"/>
              </w:rPr>
              <w:t xml:space="preserve"> días después de concluido el trimestre de referencia</w:t>
            </w:r>
            <w:r w:rsidRPr="002C30B3" w:rsidDel="00647B83">
              <w:rPr>
                <w:sz w:val="16"/>
                <w:szCs w:val="16"/>
                <w:lang w:val="es-MX"/>
              </w:rPr>
              <w:t xml:space="preserve"> </w:t>
            </w:r>
            <w:r w:rsidR="00624C64" w:rsidRPr="002C30B3">
              <w:rPr>
                <w:sz w:val="16"/>
                <w:szCs w:val="16"/>
              </w:rPr>
              <w:t>conforme a</w:t>
            </w:r>
            <w:r w:rsidR="002B17DE" w:rsidRPr="002C30B3">
              <w:rPr>
                <w:sz w:val="16"/>
                <w:szCs w:val="16"/>
              </w:rPr>
              <w:t xml:space="preserve">l Calendario de </w:t>
            </w:r>
            <w:r w:rsidR="002B17DE" w:rsidRPr="002C30B3">
              <w:rPr>
                <w:sz w:val="16"/>
                <w:szCs w:val="16"/>
                <w:lang w:val="es-MX"/>
              </w:rPr>
              <w:t>Difusión de Información Estadística y Geográfica</w:t>
            </w:r>
            <w:r w:rsidR="002B17DE" w:rsidRPr="002C30B3">
              <w:rPr>
                <w:sz w:val="16"/>
                <w:szCs w:val="16"/>
              </w:rPr>
              <w:t xml:space="preserve"> y de Interés Nacional.</w:t>
            </w:r>
          </w:p>
        </w:tc>
      </w:tr>
      <w:tr w:rsidR="00217A9C" w:rsidRPr="000E13F1" w14:paraId="17F2EFFF" w14:textId="77777777" w:rsidTr="00B27962">
        <w:trPr>
          <w:trHeight w:val="227"/>
          <w:jc w:val="center"/>
        </w:trPr>
        <w:tc>
          <w:tcPr>
            <w:tcW w:w="2268" w:type="dxa"/>
            <w:vAlign w:val="center"/>
          </w:tcPr>
          <w:p w14:paraId="365CB342" w14:textId="16EFCCBD" w:rsidR="002B17DE" w:rsidRPr="000E13F1" w:rsidRDefault="001A71DD" w:rsidP="00B27962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7"/>
                <w:szCs w:val="17"/>
              </w:rPr>
            </w:pPr>
            <w:r w:rsidRPr="000E13F1">
              <w:rPr>
                <w:b/>
                <w:bCs/>
                <w:color w:val="auto"/>
                <w:sz w:val="17"/>
                <w:szCs w:val="17"/>
              </w:rPr>
              <w:t>N</w:t>
            </w:r>
            <w:r w:rsidR="00926D4B">
              <w:rPr>
                <w:b/>
                <w:bCs/>
                <w:color w:val="auto"/>
                <w:sz w:val="17"/>
                <w:szCs w:val="17"/>
              </w:rPr>
              <w:t xml:space="preserve">ota al </w:t>
            </w:r>
            <w:r w:rsidRPr="000E13F1">
              <w:rPr>
                <w:b/>
                <w:bCs/>
                <w:color w:val="auto"/>
                <w:sz w:val="17"/>
                <w:szCs w:val="17"/>
              </w:rPr>
              <w:t>usuari</w:t>
            </w:r>
            <w:r w:rsidR="00926D4B">
              <w:rPr>
                <w:b/>
                <w:bCs/>
                <w:color w:val="auto"/>
                <w:sz w:val="17"/>
                <w:szCs w:val="17"/>
              </w:rPr>
              <w:t>o</w:t>
            </w:r>
          </w:p>
        </w:tc>
        <w:tc>
          <w:tcPr>
            <w:tcW w:w="7694" w:type="dxa"/>
            <w:vAlign w:val="center"/>
          </w:tcPr>
          <w:p w14:paraId="2D766FEE" w14:textId="4936FEF5" w:rsidR="002C30B3" w:rsidRPr="009B5C33" w:rsidRDefault="002C30B3" w:rsidP="00B27962">
            <w:pPr>
              <w:pStyle w:val="Direcciones"/>
              <w:spacing w:line="240" w:lineRule="auto"/>
              <w:ind w:left="142" w:right="14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Este producto se actualiza una vez que se dispone de la información estadística más reciente </w:t>
            </w:r>
            <w:r w:rsidR="006F215C"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de las Cuentas de Bienes y Servicios 2023 versión revisada, </w:t>
            </w:r>
            <w:r w:rsidR="001D4058">
              <w:rPr>
                <w:rFonts w:ascii="Arial" w:hAnsi="Arial" w:cs="Arial"/>
                <w:color w:val="auto"/>
                <w:sz w:val="16"/>
                <w:szCs w:val="16"/>
              </w:rPr>
              <w:t xml:space="preserve">de las </w:t>
            </w: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encuestas, </w:t>
            </w:r>
            <w:r w:rsidR="004B20F3"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los </w:t>
            </w: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registros administrativos y </w:t>
            </w:r>
            <w:r w:rsidR="004B20F3"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los </w:t>
            </w: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>datos primarios</w:t>
            </w:r>
            <w:r w:rsidR="004B20F3"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 de 2024</w:t>
            </w:r>
            <w:r w:rsidR="006F215C"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 y 2025</w:t>
            </w: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. Como resultado de incorporar esta información, se identifican diferencias en </w:t>
            </w:r>
            <w:r w:rsidR="004B20F3" w:rsidRPr="009B5C33">
              <w:rPr>
                <w:rFonts w:ascii="Arial" w:hAnsi="Arial" w:cs="Arial"/>
                <w:color w:val="auto"/>
                <w:sz w:val="16"/>
                <w:szCs w:val="16"/>
              </w:rPr>
              <w:t>las cifras</w:t>
            </w: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 que se publicaron oportunamente.</w:t>
            </w:r>
          </w:p>
          <w:p w14:paraId="1E91A111" w14:textId="36461DD3" w:rsidR="002C30B3" w:rsidRPr="006E32B2" w:rsidRDefault="002C30B3" w:rsidP="00B27962">
            <w:pPr>
              <w:pStyle w:val="Direcciones"/>
              <w:spacing w:line="240" w:lineRule="auto"/>
              <w:ind w:left="142" w:right="142"/>
              <w:jc w:val="both"/>
              <w:rPr>
                <w:rStyle w:val="ui-provider"/>
                <w:color w:val="auto"/>
                <w:sz w:val="16"/>
                <w:szCs w:val="16"/>
              </w:rPr>
            </w:pP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En la integración de las </w:t>
            </w:r>
            <w:r w:rsidRPr="009B5C33">
              <w:rPr>
                <w:rFonts w:ascii="Arial" w:hAnsi="Arial" w:cs="Arial"/>
                <w:smallCaps/>
                <w:color w:val="auto"/>
                <w:sz w:val="16"/>
                <w:szCs w:val="16"/>
              </w:rPr>
              <w:t>mtptref</w:t>
            </w:r>
            <w:r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 se consideró </w:t>
            </w:r>
            <w:r w:rsidR="00E71AC9" w:rsidRPr="009B5C33">
              <w:rPr>
                <w:rFonts w:ascii="Arial" w:hAnsi="Arial" w:cs="Arial"/>
                <w:color w:val="auto"/>
                <w:sz w:val="16"/>
                <w:szCs w:val="16"/>
              </w:rPr>
              <w:t xml:space="preserve">la </w:t>
            </w:r>
            <w:r w:rsidRPr="009B5C33">
              <w:rPr>
                <w:rFonts w:ascii="Arial" w:hAnsi="Arial" w:cs="Arial"/>
                <w:smallCaps/>
                <w:color w:val="auto"/>
                <w:sz w:val="16"/>
                <w:szCs w:val="16"/>
              </w:rPr>
              <w:t>enoe</w:t>
            </w:r>
            <w:r w:rsidR="00E9087E" w:rsidRPr="009B5C33">
              <w:rPr>
                <w:rFonts w:ascii="Arial" w:hAnsi="Arial" w:cs="Arial"/>
                <w:smallCaps/>
                <w:color w:val="auto"/>
                <w:sz w:val="16"/>
                <w:szCs w:val="16"/>
              </w:rPr>
              <w:t>.</w:t>
            </w:r>
            <w:r w:rsidR="00AE3251" w:rsidRPr="009B5C33">
              <w:rPr>
                <w:rFonts w:ascii="Arial" w:hAnsi="Arial" w:cs="Arial"/>
                <w:smallCaps/>
                <w:color w:val="auto"/>
                <w:sz w:val="16"/>
                <w:szCs w:val="16"/>
              </w:rPr>
              <w:t xml:space="preserve"> </w:t>
            </w:r>
            <w:r w:rsidR="00E9087E" w:rsidRPr="009B5C33">
              <w:rPr>
                <w:rFonts w:ascii="Arial" w:hAnsi="Arial" w:cs="Arial"/>
                <w:color w:val="auto"/>
                <w:sz w:val="16"/>
                <w:szCs w:val="16"/>
              </w:rPr>
              <w:t>Esta</w:t>
            </w:r>
            <w:r w:rsidR="00E9087E" w:rsidRPr="009B5C33">
              <w:rPr>
                <w:rFonts w:ascii="Arial" w:hAnsi="Arial" w:cs="Arial"/>
                <w:smallCaps/>
                <w:color w:val="auto"/>
                <w:sz w:val="16"/>
                <w:szCs w:val="16"/>
              </w:rPr>
              <w:t xml:space="preserve"> </w:t>
            </w:r>
            <w:r w:rsidRPr="009B5C33">
              <w:rPr>
                <w:rStyle w:val="ui-provider"/>
                <w:rFonts w:ascii="Arial" w:hAnsi="Arial" w:cs="Arial"/>
                <w:color w:val="auto"/>
                <w:sz w:val="16"/>
                <w:szCs w:val="16"/>
              </w:rPr>
              <w:t>reportó niveles de precisión altos para el total de la población ocupada en cada una de las entidades de acuerdo con sus indicadores estratégicos de ocupación y empleo con precisiones estadísticas</w:t>
            </w:r>
            <w:r w:rsidR="00AE3251" w:rsidRPr="009B5C33">
              <w:rPr>
                <w:rStyle w:val="ui-provider"/>
                <w:rFonts w:ascii="Arial" w:hAnsi="Arial" w:cs="Arial"/>
                <w:color w:val="auto"/>
                <w:sz w:val="16"/>
                <w:szCs w:val="16"/>
              </w:rPr>
              <w:t>. T</w:t>
            </w:r>
            <w:r w:rsidRPr="009B5C33">
              <w:rPr>
                <w:rStyle w:val="ui-provider"/>
                <w:rFonts w:ascii="Arial" w:hAnsi="Arial" w:cs="Arial"/>
                <w:color w:val="auto"/>
                <w:sz w:val="16"/>
                <w:szCs w:val="16"/>
              </w:rPr>
              <w:t>ambién se contemplan las encuestas económicas que divulga el Instituto</w:t>
            </w:r>
            <w:r w:rsidR="00D73D78" w:rsidRPr="009B5C33">
              <w:rPr>
                <w:rStyle w:val="ui-provider"/>
                <w:rFonts w:ascii="Arial" w:hAnsi="Arial" w:cs="Arial"/>
                <w:color w:val="auto"/>
                <w:sz w:val="16"/>
                <w:szCs w:val="16"/>
              </w:rPr>
              <w:t xml:space="preserve">. Esto </w:t>
            </w:r>
            <w:r w:rsidRPr="009B5C33">
              <w:rPr>
                <w:rStyle w:val="ui-provider"/>
                <w:rFonts w:ascii="Arial" w:hAnsi="Arial" w:cs="Arial"/>
                <w:color w:val="auto"/>
                <w:sz w:val="16"/>
                <w:szCs w:val="16"/>
              </w:rPr>
              <w:t>permitió la generación de estadísticas con niveles altos de cobertura.</w:t>
            </w:r>
          </w:p>
          <w:p w14:paraId="1312EC4C" w14:textId="2FC4D07C" w:rsidR="00217A9C" w:rsidRPr="006F215C" w:rsidRDefault="00217A9C" w:rsidP="00B27962">
            <w:pPr>
              <w:pStyle w:val="texto0"/>
              <w:keepLines w:val="0"/>
              <w:spacing w:before="0"/>
              <w:ind w:left="142" w:right="142"/>
              <w:rPr>
                <w:color w:val="auto"/>
                <w:sz w:val="16"/>
                <w:szCs w:val="16"/>
              </w:rPr>
            </w:pPr>
            <w:r w:rsidRPr="006E32B2">
              <w:rPr>
                <w:color w:val="auto"/>
                <w:sz w:val="16"/>
                <w:szCs w:val="16"/>
              </w:rPr>
              <w:t xml:space="preserve">El </w:t>
            </w:r>
            <w:r w:rsidRPr="006E32B2">
              <w:rPr>
                <w:smallCaps/>
                <w:color w:val="auto"/>
                <w:sz w:val="16"/>
                <w:szCs w:val="16"/>
              </w:rPr>
              <w:t xml:space="preserve">inegi </w:t>
            </w:r>
            <w:r w:rsidRPr="006E32B2">
              <w:rPr>
                <w:color w:val="auto"/>
                <w:sz w:val="16"/>
                <w:szCs w:val="16"/>
              </w:rPr>
              <w:t xml:space="preserve">invita conocer a mayor detalle la metodología de las </w:t>
            </w:r>
            <w:r w:rsidR="00624C64" w:rsidRPr="006E32B2">
              <w:rPr>
                <w:smallCaps/>
                <w:color w:val="auto"/>
                <w:sz w:val="16"/>
                <w:szCs w:val="16"/>
              </w:rPr>
              <w:t>mtptref</w:t>
            </w:r>
            <w:r w:rsidRPr="006E32B2">
              <w:rPr>
                <w:color w:val="auto"/>
                <w:sz w:val="16"/>
                <w:szCs w:val="16"/>
              </w:rPr>
              <w:t xml:space="preserve"> en la siguiente liga:</w:t>
            </w:r>
          </w:p>
          <w:p w14:paraId="7BC03660" w14:textId="41CA45F4" w:rsidR="002B17DE" w:rsidRPr="00C25A6C" w:rsidRDefault="00630477" w:rsidP="00B27962">
            <w:pPr>
              <w:pStyle w:val="texto0"/>
              <w:keepLines w:val="0"/>
              <w:spacing w:before="0"/>
              <w:ind w:left="142" w:right="142"/>
              <w:rPr>
                <w:rFonts w:cs="Arial"/>
                <w:color w:val="auto"/>
                <w:sz w:val="16"/>
                <w:szCs w:val="16"/>
                <w:highlight w:val="yellow"/>
                <w:u w:val="single"/>
              </w:rPr>
            </w:pPr>
            <w:hyperlink r:id="rId15" w:anchor="documentacion" w:history="1">
              <w:r w:rsidRPr="006F215C">
                <w:rPr>
                  <w:rStyle w:val="Hipervnculo"/>
                  <w:rFonts w:cs="Arial"/>
                  <w:sz w:val="16"/>
                  <w:szCs w:val="16"/>
                </w:rPr>
                <w:t>https://www.inegi.org.mx/programas/mtptref/2018/#documentacion</w:t>
              </w:r>
            </w:hyperlink>
            <w:r w:rsidRPr="006F215C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6B916961" w14:textId="75E08ADE" w:rsidR="00892CE5" w:rsidRPr="009073F7" w:rsidRDefault="00892CE5" w:rsidP="00E626C5">
      <w:pPr>
        <w:pStyle w:val="NormalWeb"/>
        <w:spacing w:before="120" w:beforeAutospacing="0" w:after="0" w:afterAutospacing="0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  <w:r w:rsidRPr="009073F7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 xml:space="preserve">La información estadística y geográfica que genera el </w:t>
      </w:r>
      <w:r w:rsidR="0046086B" w:rsidRPr="0046086B">
        <w:rPr>
          <w:rFonts w:ascii="Arial" w:hAnsi="Arial" w:cs="Arial"/>
          <w:i/>
          <w:iCs/>
          <w:smallCaps/>
          <w:color w:val="404040" w:themeColor="text1" w:themeTint="BF"/>
          <w:sz w:val="20"/>
          <w:szCs w:val="20"/>
          <w:lang w:val="es-ES_tradnl"/>
        </w:rPr>
        <w:t>inegi</w:t>
      </w:r>
      <w:r w:rsidRPr="009073F7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 xml:space="preserve"> es un bien público y nos permite</w:t>
      </w:r>
    </w:p>
    <w:p w14:paraId="44849364" w14:textId="77777777" w:rsidR="00892CE5" w:rsidRPr="009073F7" w:rsidRDefault="00892CE5" w:rsidP="00E71AC9">
      <w:pPr>
        <w:pStyle w:val="NormalWeb"/>
        <w:spacing w:before="40" w:beforeAutospacing="0" w:after="240" w:afterAutospacing="0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  <w:r w:rsidRPr="009073F7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>a todas y a todos tomar mejores decisiones. ¡Conócela, úsala y compártela!</w:t>
      </w:r>
    </w:p>
    <w:p w14:paraId="6774DE91" w14:textId="0A256453" w:rsidR="00892CE5" w:rsidRPr="001A71DD" w:rsidRDefault="00892CE5" w:rsidP="001A71DD">
      <w:pPr>
        <w:pStyle w:val="Prrafodelista"/>
        <w:ind w:left="0"/>
        <w:jc w:val="center"/>
        <w:rPr>
          <w:szCs w:val="28"/>
        </w:rPr>
      </w:pPr>
      <w:r w:rsidRPr="00B82B17">
        <w:rPr>
          <w:noProof/>
          <w:sz w:val="16"/>
          <w:szCs w:val="16"/>
        </w:rPr>
        <w:drawing>
          <wp:inline distT="0" distB="0" distL="0" distR="0" wp14:anchorId="70D45DCE" wp14:editId="3AAF44DF">
            <wp:extent cx="229711" cy="222140"/>
            <wp:effectExtent l="0" t="0" r="0" b="6985"/>
            <wp:docPr id="1087106566" name="Imagen 1087106566" descr="Icon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0" cy="2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086B">
        <w:rPr>
          <w:noProof/>
          <w:sz w:val="16"/>
          <w:szCs w:val="16"/>
        </w:rPr>
        <w:t xml:space="preserve"> </w:t>
      </w:r>
      <w:r w:rsidRPr="00B82B17">
        <w:rPr>
          <w:noProof/>
          <w:sz w:val="16"/>
          <w:szCs w:val="16"/>
        </w:rPr>
        <w:drawing>
          <wp:inline distT="0" distB="0" distL="0" distR="0" wp14:anchorId="3F3F1C3A" wp14:editId="732AA500">
            <wp:extent cx="234725" cy="234725"/>
            <wp:effectExtent l="0" t="0" r="0" b="0"/>
            <wp:docPr id="1621585728" name="Imagen 1621585728" descr="Icono&#10;&#10;Descripción generada automá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48279" name="Imagen 2097748279" descr="Icono&#10;&#10;Descripción generada automáticament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6" cy="2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86B">
        <w:rPr>
          <w:noProof/>
          <w:sz w:val="16"/>
          <w:szCs w:val="16"/>
        </w:rPr>
        <w:t xml:space="preserve"> </w:t>
      </w:r>
      <w:r w:rsidRPr="00B82B17">
        <w:rPr>
          <w:noProof/>
          <w:sz w:val="16"/>
          <w:szCs w:val="16"/>
        </w:rPr>
        <w:drawing>
          <wp:inline distT="0" distB="0" distL="0" distR="0" wp14:anchorId="4608D93A" wp14:editId="5C825305">
            <wp:extent cx="237490" cy="237490"/>
            <wp:effectExtent l="0" t="0" r="0" b="0"/>
            <wp:docPr id="734899458" name="Imagen 734899458" descr="Imagen que contiene objeto, reloj&#10;&#10;Descripción generada automáticament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43980" name="Imagen 384343980" descr="Imagen que contiene objeto, reloj&#10;&#10;Descripción generada automáticament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2" cy="2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86B">
        <w:rPr>
          <w:noProof/>
          <w:sz w:val="16"/>
          <w:szCs w:val="16"/>
        </w:rPr>
        <w:t xml:space="preserve"> </w:t>
      </w:r>
      <w:r w:rsidRPr="00B82B17">
        <w:rPr>
          <w:noProof/>
          <w:sz w:val="16"/>
          <w:szCs w:val="16"/>
        </w:rPr>
        <w:drawing>
          <wp:inline distT="0" distB="0" distL="0" distR="0" wp14:anchorId="0EB7D590" wp14:editId="3D88BA9F">
            <wp:extent cx="233654" cy="233654"/>
            <wp:effectExtent l="0" t="0" r="0" b="0"/>
            <wp:docPr id="1516154337" name="Imagen 1516154337" descr="Logotipo&#10;&#10;Descripción generada automáticament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7" cy="2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86B">
        <w:rPr>
          <w:noProof/>
          <w:sz w:val="16"/>
          <w:szCs w:val="16"/>
        </w:rPr>
        <w:t xml:space="preserve"> </w:t>
      </w:r>
      <w:r w:rsidRPr="00B82B17">
        <w:rPr>
          <w:noProof/>
          <w:sz w:val="16"/>
          <w:szCs w:val="16"/>
        </w:rPr>
        <w:drawing>
          <wp:inline distT="0" distB="0" distL="0" distR="0" wp14:anchorId="416C4046" wp14:editId="03E31BD4">
            <wp:extent cx="1436914" cy="152592"/>
            <wp:effectExtent l="0" t="0" r="0" b="0"/>
            <wp:docPr id="357065532" name="Imagen 357065532" descr="Icono&#10;&#10;Descripción generada automáticament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CE5" w:rsidRPr="001A71DD" w:rsidSect="00C50B9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2242" w:h="15842" w:code="1"/>
      <w:pgMar w:top="2268" w:right="1134" w:bottom="1418" w:left="1134" w:header="284" w:footer="403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F8B2" w14:textId="77777777" w:rsidR="00A06159" w:rsidRDefault="00A06159">
      <w:r>
        <w:separator/>
      </w:r>
    </w:p>
  </w:endnote>
  <w:endnote w:type="continuationSeparator" w:id="0">
    <w:p w14:paraId="1B2F6A48" w14:textId="77777777" w:rsidR="00A06159" w:rsidRDefault="00A06159">
      <w:r>
        <w:continuationSeparator/>
      </w:r>
    </w:p>
  </w:endnote>
  <w:endnote w:type="continuationNotice" w:id="1">
    <w:p w14:paraId="62B70D7B" w14:textId="77777777" w:rsidR="00A06159" w:rsidRDefault="00A06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 Regular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egrita">
    <w:altName w:val="Arial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CC27" w14:textId="77777777" w:rsidR="002B569D" w:rsidRDefault="002B56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D478" w14:textId="77777777" w:rsidR="002B569D" w:rsidRDefault="002B56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7FA6" w14:textId="77777777" w:rsidR="002B569D" w:rsidRDefault="002B5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ACE4" w14:textId="77777777" w:rsidR="00A06159" w:rsidRDefault="00A06159">
      <w:r>
        <w:separator/>
      </w:r>
    </w:p>
  </w:footnote>
  <w:footnote w:type="continuationSeparator" w:id="0">
    <w:p w14:paraId="09566E2D" w14:textId="77777777" w:rsidR="00A06159" w:rsidRDefault="00A06159">
      <w:r>
        <w:continuationSeparator/>
      </w:r>
    </w:p>
  </w:footnote>
  <w:footnote w:type="continuationNotice" w:id="1">
    <w:p w14:paraId="09F81C9F" w14:textId="77777777" w:rsidR="00A06159" w:rsidRDefault="00A06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D4F0" w14:textId="77777777" w:rsidR="002B569D" w:rsidRDefault="002B56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6D12" w14:textId="496C4239" w:rsidR="008954C9" w:rsidRPr="008B70AD" w:rsidRDefault="001C5962" w:rsidP="004201FB">
    <w:pPr>
      <w:pStyle w:val="Encabezado"/>
      <w:jc w:val="right"/>
      <w:rPr>
        <w:rFonts w:ascii="Arial Black" w:hAnsi="Arial Black"/>
        <w:b/>
        <w:color w:val="07BFBA"/>
      </w:rPr>
    </w:pPr>
    <w:r w:rsidRPr="008B70AD">
      <w:rPr>
        <w:rFonts w:ascii="Arial Black" w:hAnsi="Arial Black"/>
        <w:b/>
        <w:noProof/>
        <w:color w:val="07BFBA"/>
      </w:rPr>
      <w:drawing>
        <wp:anchor distT="0" distB="0" distL="114300" distR="114300" simplePos="0" relativeHeight="251657216" behindDoc="1" locked="0" layoutInCell="1" allowOverlap="1" wp14:anchorId="7EEAB45A" wp14:editId="69571D32">
          <wp:simplePos x="0" y="0"/>
          <wp:positionH relativeFrom="page">
            <wp:posOffset>0</wp:posOffset>
          </wp:positionH>
          <wp:positionV relativeFrom="paragraph">
            <wp:posOffset>-180340</wp:posOffset>
          </wp:positionV>
          <wp:extent cx="7787640" cy="1228725"/>
          <wp:effectExtent l="0" t="0" r="3810" b="9525"/>
          <wp:wrapNone/>
          <wp:docPr id="1922561849" name="Imagen 1" descr="Gráfic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583643" name="Imagen 1" descr="Gráfico,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4C9" w:rsidRPr="008B70AD">
      <w:rPr>
        <w:rFonts w:ascii="Arial Black" w:hAnsi="Arial Black"/>
        <w:b/>
        <w:color w:val="07BFBA"/>
      </w:rPr>
      <w:t>BOLETÍN DE INDICADOR</w:t>
    </w:r>
    <w:r w:rsidR="002B569D">
      <w:rPr>
        <w:rFonts w:ascii="Arial Black" w:hAnsi="Arial Black"/>
        <w:b/>
        <w:color w:val="07BFBA"/>
      </w:rPr>
      <w:t xml:space="preserve"> 508/25</w:t>
    </w:r>
  </w:p>
  <w:p w14:paraId="3DE52321" w14:textId="77777777" w:rsidR="008954C9" w:rsidRDefault="008954C9" w:rsidP="004201FB">
    <w:pPr>
      <w:pStyle w:val="Encabezado"/>
      <w:jc w:val="right"/>
      <w:rPr>
        <w:b/>
        <w:bCs/>
        <w:noProof/>
        <w:color w:val="404040" w:themeColor="text1" w:themeTint="BF"/>
      </w:rPr>
    </w:pPr>
    <w:r w:rsidRPr="00097C41">
      <w:rPr>
        <w:noProof/>
        <w:color w:val="404040" w:themeColor="text1" w:themeTint="BF"/>
      </w:rPr>
      <w:drawing>
        <wp:anchor distT="0" distB="0" distL="114300" distR="114300" simplePos="0" relativeHeight="251656192" behindDoc="0" locked="0" layoutInCell="1" allowOverlap="1" wp14:anchorId="18878A27" wp14:editId="00200168">
          <wp:simplePos x="0" y="0"/>
          <wp:positionH relativeFrom="page">
            <wp:posOffset>720090</wp:posOffset>
          </wp:positionH>
          <wp:positionV relativeFrom="page">
            <wp:posOffset>453224</wp:posOffset>
          </wp:positionV>
          <wp:extent cx="1591200" cy="309600"/>
          <wp:effectExtent l="0" t="0" r="0" b="0"/>
          <wp:wrapNone/>
          <wp:docPr id="488170387" name="Imagen 488170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316087" name="Imagen 18023160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" b="1604"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3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9F739" w14:textId="6DBF8718" w:rsidR="00C91315" w:rsidRPr="008B70AD" w:rsidRDefault="00C91315" w:rsidP="004201FB">
    <w:pPr>
      <w:pStyle w:val="Encabezado"/>
      <w:jc w:val="right"/>
      <w:rPr>
        <w:b/>
        <w:bCs/>
        <w:noProof/>
        <w:color w:val="404040"/>
      </w:rPr>
    </w:pPr>
    <w:r w:rsidRPr="008B70AD">
      <w:rPr>
        <w:b/>
        <w:bCs/>
        <w:noProof/>
        <w:color w:val="404040"/>
      </w:rPr>
      <w:t>MEDICIONES TRIMESTRALES DE LOS</w:t>
    </w:r>
  </w:p>
  <w:p w14:paraId="4A5E05AB" w14:textId="67AEA079" w:rsidR="00236800" w:rsidRPr="008B70AD" w:rsidRDefault="00C91315" w:rsidP="004201FB">
    <w:pPr>
      <w:pStyle w:val="Encabezado"/>
      <w:jc w:val="right"/>
      <w:rPr>
        <w:b/>
        <w:bCs/>
        <w:noProof/>
        <w:color w:val="404040"/>
      </w:rPr>
    </w:pPr>
    <w:r w:rsidRPr="008B70AD">
      <w:rPr>
        <w:b/>
        <w:bCs/>
        <w:noProof/>
        <w:color w:val="404040"/>
      </w:rPr>
      <w:t>PUESTOS DE TRABAJO Y SUS REMUNERACIONES</w:t>
    </w:r>
  </w:p>
  <w:p w14:paraId="55054348" w14:textId="6496361F" w:rsidR="00C91315" w:rsidRPr="008B70AD" w:rsidRDefault="00C91315" w:rsidP="004201FB">
    <w:pPr>
      <w:pStyle w:val="Encabezado"/>
      <w:jc w:val="right"/>
      <w:rPr>
        <w:b/>
        <w:bCs/>
        <w:noProof/>
        <w:color w:val="404040"/>
      </w:rPr>
    </w:pPr>
    <w:r w:rsidRPr="008B70AD">
      <w:rPr>
        <w:b/>
        <w:bCs/>
        <w:noProof/>
        <w:color w:val="404040"/>
      </w:rPr>
      <w:t>POR ENTIDAD FEDERATIVA (MTPTREF)</w:t>
    </w:r>
  </w:p>
  <w:p w14:paraId="08DC586A" w14:textId="0DC49408" w:rsidR="008954C9" w:rsidRPr="00EB1539" w:rsidRDefault="00514E00" w:rsidP="004201FB">
    <w:pPr>
      <w:pStyle w:val="Encabezado"/>
      <w:jc w:val="right"/>
      <w:rPr>
        <w:bCs/>
        <w:color w:val="404040"/>
      </w:rPr>
    </w:pPr>
    <w:r>
      <w:rPr>
        <w:bCs/>
        <w:color w:val="404040"/>
      </w:rPr>
      <w:t>3</w:t>
    </w:r>
    <w:r w:rsidR="00EB1539">
      <w:rPr>
        <w:bCs/>
        <w:color w:val="404040"/>
      </w:rPr>
      <w:t xml:space="preserve"> </w:t>
    </w:r>
    <w:r w:rsidR="008954C9" w:rsidRPr="00EB1539">
      <w:rPr>
        <w:bCs/>
        <w:color w:val="404040"/>
      </w:rPr>
      <w:t xml:space="preserve">de </w:t>
    </w:r>
    <w:r w:rsidR="00584755">
      <w:rPr>
        <w:bCs/>
        <w:color w:val="404040"/>
      </w:rPr>
      <w:t xml:space="preserve">septiembre </w:t>
    </w:r>
    <w:r w:rsidR="00C91315" w:rsidRPr="00EB1539">
      <w:rPr>
        <w:bCs/>
        <w:color w:val="404040"/>
      </w:rPr>
      <w:t xml:space="preserve">de </w:t>
    </w:r>
    <w:r w:rsidR="008954C9" w:rsidRPr="00EB1539">
      <w:rPr>
        <w:bCs/>
        <w:color w:val="404040"/>
      </w:rPr>
      <w:t>202</w:t>
    </w:r>
    <w:r w:rsidR="00EB1539">
      <w:rPr>
        <w:bCs/>
        <w:color w:val="404040"/>
      </w:rPr>
      <w:t>5</w:t>
    </w:r>
  </w:p>
  <w:p w14:paraId="08389CF9" w14:textId="2C4F7210" w:rsidR="008954C9" w:rsidRPr="00EB1539" w:rsidRDefault="008954C9" w:rsidP="004201FB">
    <w:pPr>
      <w:pStyle w:val="Encabezado"/>
      <w:jc w:val="right"/>
      <w:rPr>
        <w:bCs/>
        <w:color w:val="404040"/>
        <w:lang w:val="pt-BR"/>
      </w:rPr>
    </w:pPr>
    <w:r w:rsidRPr="00EB1539">
      <w:rPr>
        <w:bCs/>
        <w:color w:val="404040"/>
      </w:rPr>
      <w:t xml:space="preserve">Página </w:t>
    </w:r>
    <w:r w:rsidRPr="00EB1539">
      <w:rPr>
        <w:color w:val="404040"/>
      </w:rPr>
      <w:fldChar w:fldCharType="begin"/>
    </w:r>
    <w:r w:rsidRPr="00EB1539">
      <w:rPr>
        <w:color w:val="404040"/>
      </w:rPr>
      <w:instrText xml:space="preserve"> PAGE  \* Arabic </w:instrText>
    </w:r>
    <w:r w:rsidRPr="00EB1539">
      <w:rPr>
        <w:color w:val="404040"/>
      </w:rPr>
      <w:fldChar w:fldCharType="separate"/>
    </w:r>
    <w:r w:rsidRPr="00EB1539">
      <w:rPr>
        <w:color w:val="404040"/>
      </w:rPr>
      <w:t>1</w:t>
    </w:r>
    <w:r w:rsidRPr="00EB1539">
      <w:rPr>
        <w:color w:val="404040"/>
      </w:rPr>
      <w:fldChar w:fldCharType="end"/>
    </w:r>
    <w:r w:rsidRPr="00EB1539">
      <w:rPr>
        <w:color w:val="404040"/>
      </w:rPr>
      <w:t>/</w:t>
    </w:r>
    <w:r w:rsidR="009073F7" w:rsidRPr="00EB1539">
      <w:rPr>
        <w:color w:val="40404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D3CD" w14:textId="77777777" w:rsidR="002B569D" w:rsidRDefault="002B569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0803B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DD41D4"/>
    <w:multiLevelType w:val="hybridMultilevel"/>
    <w:tmpl w:val="5F72EC36"/>
    <w:lvl w:ilvl="0" w:tplc="286E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2DAD"/>
    <w:multiLevelType w:val="hybridMultilevel"/>
    <w:tmpl w:val="21D43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32D9"/>
    <w:multiLevelType w:val="hybridMultilevel"/>
    <w:tmpl w:val="551C783A"/>
    <w:lvl w:ilvl="0" w:tplc="4FF28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509C5"/>
    <w:multiLevelType w:val="hybridMultilevel"/>
    <w:tmpl w:val="A0A6B1B2"/>
    <w:lvl w:ilvl="0" w:tplc="5BC8A2B4">
      <w:start w:val="1"/>
      <w:numFmt w:val="upperRoman"/>
      <w:lvlText w:val="%1."/>
      <w:lvlJc w:val="center"/>
      <w:pPr>
        <w:ind w:left="720" w:hanging="360"/>
      </w:pPr>
      <w:rPr>
        <w:rFonts w:ascii="Arial" w:hAnsi="Arial" w:hint="default"/>
        <w:b/>
        <w:bCs w:val="0"/>
        <w:i w:val="0"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86997"/>
    <w:multiLevelType w:val="hybridMultilevel"/>
    <w:tmpl w:val="57D2642C"/>
    <w:lvl w:ilvl="0" w:tplc="6F7A3512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6A3A"/>
    <w:multiLevelType w:val="hybridMultilevel"/>
    <w:tmpl w:val="A9080B9E"/>
    <w:lvl w:ilvl="0" w:tplc="2BBC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2728"/>
    <w:multiLevelType w:val="hybridMultilevel"/>
    <w:tmpl w:val="B694D902"/>
    <w:lvl w:ilvl="0" w:tplc="C228EF02">
      <w:start w:val="1"/>
      <w:numFmt w:val="upperRoman"/>
      <w:lvlText w:val="%1."/>
      <w:lvlJc w:val="center"/>
      <w:pPr>
        <w:ind w:left="720" w:hanging="360"/>
      </w:pPr>
      <w:rPr>
        <w:rFonts w:ascii="Arial" w:hAnsi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541752">
    <w:abstractNumId w:val="0"/>
  </w:num>
  <w:num w:numId="2" w16cid:durableId="1669750699">
    <w:abstractNumId w:val="6"/>
  </w:num>
  <w:num w:numId="3" w16cid:durableId="1013806037">
    <w:abstractNumId w:val="2"/>
  </w:num>
  <w:num w:numId="4" w16cid:durableId="734350750">
    <w:abstractNumId w:val="7"/>
  </w:num>
  <w:num w:numId="5" w16cid:durableId="421999646">
    <w:abstractNumId w:val="3"/>
  </w:num>
  <w:num w:numId="6" w16cid:durableId="1393894407">
    <w:abstractNumId w:val="4"/>
  </w:num>
  <w:num w:numId="7" w16cid:durableId="1095705472">
    <w:abstractNumId w:val="1"/>
  </w:num>
  <w:num w:numId="8" w16cid:durableId="18990517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A"/>
    <w:rsid w:val="000001B0"/>
    <w:rsid w:val="0000043F"/>
    <w:rsid w:val="00000B92"/>
    <w:rsid w:val="00000BEA"/>
    <w:rsid w:val="0000180F"/>
    <w:rsid w:val="00001FB3"/>
    <w:rsid w:val="00002466"/>
    <w:rsid w:val="00002605"/>
    <w:rsid w:val="00002665"/>
    <w:rsid w:val="000027BD"/>
    <w:rsid w:val="00002B26"/>
    <w:rsid w:val="00002F3D"/>
    <w:rsid w:val="00003B70"/>
    <w:rsid w:val="00003C25"/>
    <w:rsid w:val="00003C68"/>
    <w:rsid w:val="00004291"/>
    <w:rsid w:val="000042CB"/>
    <w:rsid w:val="0000458A"/>
    <w:rsid w:val="00004D58"/>
    <w:rsid w:val="000050C6"/>
    <w:rsid w:val="00005180"/>
    <w:rsid w:val="00005940"/>
    <w:rsid w:val="00005EB0"/>
    <w:rsid w:val="00006366"/>
    <w:rsid w:val="00006903"/>
    <w:rsid w:val="00006B5A"/>
    <w:rsid w:val="00006DB9"/>
    <w:rsid w:val="00006DE4"/>
    <w:rsid w:val="000076D4"/>
    <w:rsid w:val="000078B1"/>
    <w:rsid w:val="00007A1A"/>
    <w:rsid w:val="000107E0"/>
    <w:rsid w:val="00010A59"/>
    <w:rsid w:val="000112A7"/>
    <w:rsid w:val="0001151F"/>
    <w:rsid w:val="00011840"/>
    <w:rsid w:val="00011AC0"/>
    <w:rsid w:val="00011BD3"/>
    <w:rsid w:val="00012278"/>
    <w:rsid w:val="00012A27"/>
    <w:rsid w:val="00012E16"/>
    <w:rsid w:val="0001302A"/>
    <w:rsid w:val="000132A4"/>
    <w:rsid w:val="00013319"/>
    <w:rsid w:val="00013440"/>
    <w:rsid w:val="00013BF2"/>
    <w:rsid w:val="00013E55"/>
    <w:rsid w:val="0001447E"/>
    <w:rsid w:val="000144BA"/>
    <w:rsid w:val="000144ED"/>
    <w:rsid w:val="00014BA2"/>
    <w:rsid w:val="00014FBD"/>
    <w:rsid w:val="00015137"/>
    <w:rsid w:val="00015302"/>
    <w:rsid w:val="00015A5A"/>
    <w:rsid w:val="00016590"/>
    <w:rsid w:val="0001686F"/>
    <w:rsid w:val="00016B4E"/>
    <w:rsid w:val="00016CD6"/>
    <w:rsid w:val="00016D3A"/>
    <w:rsid w:val="0001718D"/>
    <w:rsid w:val="000176AC"/>
    <w:rsid w:val="00017B51"/>
    <w:rsid w:val="00017DF3"/>
    <w:rsid w:val="0002101F"/>
    <w:rsid w:val="00021432"/>
    <w:rsid w:val="00021492"/>
    <w:rsid w:val="000216A3"/>
    <w:rsid w:val="00021926"/>
    <w:rsid w:val="00022563"/>
    <w:rsid w:val="000228C4"/>
    <w:rsid w:val="00022C2F"/>
    <w:rsid w:val="00022CA3"/>
    <w:rsid w:val="000260EE"/>
    <w:rsid w:val="00026698"/>
    <w:rsid w:val="0002696A"/>
    <w:rsid w:val="00026B3C"/>
    <w:rsid w:val="00026B52"/>
    <w:rsid w:val="00026F8D"/>
    <w:rsid w:val="000270F9"/>
    <w:rsid w:val="000274DB"/>
    <w:rsid w:val="00027980"/>
    <w:rsid w:val="00027D1F"/>
    <w:rsid w:val="00027EBA"/>
    <w:rsid w:val="00030480"/>
    <w:rsid w:val="0003065F"/>
    <w:rsid w:val="000308BA"/>
    <w:rsid w:val="00030D10"/>
    <w:rsid w:val="00030F67"/>
    <w:rsid w:val="0003119F"/>
    <w:rsid w:val="00031231"/>
    <w:rsid w:val="000314D3"/>
    <w:rsid w:val="00031BCF"/>
    <w:rsid w:val="00031CEA"/>
    <w:rsid w:val="00031F45"/>
    <w:rsid w:val="000320C6"/>
    <w:rsid w:val="00032714"/>
    <w:rsid w:val="00032891"/>
    <w:rsid w:val="00032B16"/>
    <w:rsid w:val="00033603"/>
    <w:rsid w:val="00033A14"/>
    <w:rsid w:val="0003447A"/>
    <w:rsid w:val="000345C1"/>
    <w:rsid w:val="00034BC3"/>
    <w:rsid w:val="000353F3"/>
    <w:rsid w:val="00035600"/>
    <w:rsid w:val="000357CC"/>
    <w:rsid w:val="00035B2D"/>
    <w:rsid w:val="00035DA7"/>
    <w:rsid w:val="00036196"/>
    <w:rsid w:val="00036599"/>
    <w:rsid w:val="00036D72"/>
    <w:rsid w:val="00036EC1"/>
    <w:rsid w:val="00037089"/>
    <w:rsid w:val="00037177"/>
    <w:rsid w:val="00037381"/>
    <w:rsid w:val="00037CC4"/>
    <w:rsid w:val="0004066E"/>
    <w:rsid w:val="00040766"/>
    <w:rsid w:val="00040F75"/>
    <w:rsid w:val="00041E29"/>
    <w:rsid w:val="00041FF7"/>
    <w:rsid w:val="0004225C"/>
    <w:rsid w:val="00042A47"/>
    <w:rsid w:val="00042E89"/>
    <w:rsid w:val="00043535"/>
    <w:rsid w:val="00043B32"/>
    <w:rsid w:val="00043E2B"/>
    <w:rsid w:val="00044296"/>
    <w:rsid w:val="00044699"/>
    <w:rsid w:val="00044700"/>
    <w:rsid w:val="0004490C"/>
    <w:rsid w:val="00044C5E"/>
    <w:rsid w:val="00044D7A"/>
    <w:rsid w:val="00044F7F"/>
    <w:rsid w:val="00044FA9"/>
    <w:rsid w:val="0004500F"/>
    <w:rsid w:val="000450E9"/>
    <w:rsid w:val="0004529C"/>
    <w:rsid w:val="0004596A"/>
    <w:rsid w:val="00045AF1"/>
    <w:rsid w:val="00045E9B"/>
    <w:rsid w:val="00046139"/>
    <w:rsid w:val="000465BF"/>
    <w:rsid w:val="00046822"/>
    <w:rsid w:val="00046AB6"/>
    <w:rsid w:val="00046D06"/>
    <w:rsid w:val="000471CD"/>
    <w:rsid w:val="0004735D"/>
    <w:rsid w:val="0004744D"/>
    <w:rsid w:val="0004777C"/>
    <w:rsid w:val="000501E0"/>
    <w:rsid w:val="000507D2"/>
    <w:rsid w:val="00050934"/>
    <w:rsid w:val="00050FB5"/>
    <w:rsid w:val="00051C72"/>
    <w:rsid w:val="00051D1C"/>
    <w:rsid w:val="00051D9E"/>
    <w:rsid w:val="00052784"/>
    <w:rsid w:val="00052F04"/>
    <w:rsid w:val="00052F1E"/>
    <w:rsid w:val="000536D2"/>
    <w:rsid w:val="00053B2C"/>
    <w:rsid w:val="00053D27"/>
    <w:rsid w:val="00053EB7"/>
    <w:rsid w:val="00053FEE"/>
    <w:rsid w:val="00054A4F"/>
    <w:rsid w:val="00054BE5"/>
    <w:rsid w:val="00055047"/>
    <w:rsid w:val="00055B54"/>
    <w:rsid w:val="00055CEC"/>
    <w:rsid w:val="00056182"/>
    <w:rsid w:val="0005680F"/>
    <w:rsid w:val="00056F51"/>
    <w:rsid w:val="00057275"/>
    <w:rsid w:val="000573F5"/>
    <w:rsid w:val="00057F37"/>
    <w:rsid w:val="000602B0"/>
    <w:rsid w:val="0006045B"/>
    <w:rsid w:val="0006056C"/>
    <w:rsid w:val="0006228A"/>
    <w:rsid w:val="00063614"/>
    <w:rsid w:val="00063838"/>
    <w:rsid w:val="000642EE"/>
    <w:rsid w:val="0006433F"/>
    <w:rsid w:val="000646BA"/>
    <w:rsid w:val="0006486E"/>
    <w:rsid w:val="00064BBC"/>
    <w:rsid w:val="00064E9D"/>
    <w:rsid w:val="00064FDB"/>
    <w:rsid w:val="00065106"/>
    <w:rsid w:val="000651F1"/>
    <w:rsid w:val="00065708"/>
    <w:rsid w:val="00065A07"/>
    <w:rsid w:val="00065BC1"/>
    <w:rsid w:val="0006634F"/>
    <w:rsid w:val="00066638"/>
    <w:rsid w:val="00066EA7"/>
    <w:rsid w:val="00066F41"/>
    <w:rsid w:val="00067112"/>
    <w:rsid w:val="0006778A"/>
    <w:rsid w:val="0006782D"/>
    <w:rsid w:val="00067FCA"/>
    <w:rsid w:val="0007012A"/>
    <w:rsid w:val="0007017F"/>
    <w:rsid w:val="00070431"/>
    <w:rsid w:val="00070669"/>
    <w:rsid w:val="000707FF"/>
    <w:rsid w:val="00070864"/>
    <w:rsid w:val="00070984"/>
    <w:rsid w:val="0007145A"/>
    <w:rsid w:val="00071F0D"/>
    <w:rsid w:val="00071F33"/>
    <w:rsid w:val="000723E5"/>
    <w:rsid w:val="000725AC"/>
    <w:rsid w:val="00072B18"/>
    <w:rsid w:val="000730F3"/>
    <w:rsid w:val="00073491"/>
    <w:rsid w:val="000739D2"/>
    <w:rsid w:val="00073E58"/>
    <w:rsid w:val="00073EF4"/>
    <w:rsid w:val="000748B1"/>
    <w:rsid w:val="000753EC"/>
    <w:rsid w:val="0007567F"/>
    <w:rsid w:val="00075B3A"/>
    <w:rsid w:val="00075DEC"/>
    <w:rsid w:val="00076234"/>
    <w:rsid w:val="000767F7"/>
    <w:rsid w:val="00076EE9"/>
    <w:rsid w:val="00077545"/>
    <w:rsid w:val="00077763"/>
    <w:rsid w:val="00077C46"/>
    <w:rsid w:val="00077ECE"/>
    <w:rsid w:val="0008027F"/>
    <w:rsid w:val="0008061F"/>
    <w:rsid w:val="0008071C"/>
    <w:rsid w:val="0008084D"/>
    <w:rsid w:val="000809B5"/>
    <w:rsid w:val="00080CD0"/>
    <w:rsid w:val="00080D54"/>
    <w:rsid w:val="00080DC3"/>
    <w:rsid w:val="00081417"/>
    <w:rsid w:val="000814ED"/>
    <w:rsid w:val="0008175A"/>
    <w:rsid w:val="0008195B"/>
    <w:rsid w:val="000826F7"/>
    <w:rsid w:val="00082AE3"/>
    <w:rsid w:val="00082F11"/>
    <w:rsid w:val="00083182"/>
    <w:rsid w:val="0008325D"/>
    <w:rsid w:val="000834DD"/>
    <w:rsid w:val="000834F9"/>
    <w:rsid w:val="000838EB"/>
    <w:rsid w:val="00083AFA"/>
    <w:rsid w:val="00083FB5"/>
    <w:rsid w:val="000843B1"/>
    <w:rsid w:val="000843D7"/>
    <w:rsid w:val="000845ED"/>
    <w:rsid w:val="00084687"/>
    <w:rsid w:val="00084A57"/>
    <w:rsid w:val="00084B97"/>
    <w:rsid w:val="00084BED"/>
    <w:rsid w:val="00084EDB"/>
    <w:rsid w:val="00084FF2"/>
    <w:rsid w:val="000850FA"/>
    <w:rsid w:val="0008524D"/>
    <w:rsid w:val="0008567D"/>
    <w:rsid w:val="000856E9"/>
    <w:rsid w:val="000857E4"/>
    <w:rsid w:val="00085CF4"/>
    <w:rsid w:val="00085F5E"/>
    <w:rsid w:val="00086295"/>
    <w:rsid w:val="00086D57"/>
    <w:rsid w:val="00086EDE"/>
    <w:rsid w:val="0008756B"/>
    <w:rsid w:val="00087A09"/>
    <w:rsid w:val="00087CFE"/>
    <w:rsid w:val="00087DB7"/>
    <w:rsid w:val="0009025D"/>
    <w:rsid w:val="00090669"/>
    <w:rsid w:val="00090B52"/>
    <w:rsid w:val="00090B9C"/>
    <w:rsid w:val="00090D7B"/>
    <w:rsid w:val="00091474"/>
    <w:rsid w:val="000915F7"/>
    <w:rsid w:val="00091EEF"/>
    <w:rsid w:val="00092764"/>
    <w:rsid w:val="0009292F"/>
    <w:rsid w:val="00092C02"/>
    <w:rsid w:val="00092F4C"/>
    <w:rsid w:val="0009343B"/>
    <w:rsid w:val="000939F8"/>
    <w:rsid w:val="0009421A"/>
    <w:rsid w:val="00094496"/>
    <w:rsid w:val="000950E7"/>
    <w:rsid w:val="00095360"/>
    <w:rsid w:val="000954A2"/>
    <w:rsid w:val="000955AA"/>
    <w:rsid w:val="00095781"/>
    <w:rsid w:val="000957BC"/>
    <w:rsid w:val="00095A6A"/>
    <w:rsid w:val="00095BAC"/>
    <w:rsid w:val="00095EA0"/>
    <w:rsid w:val="00096737"/>
    <w:rsid w:val="00096F5B"/>
    <w:rsid w:val="00097AEA"/>
    <w:rsid w:val="00097C0A"/>
    <w:rsid w:val="00097C29"/>
    <w:rsid w:val="00097C41"/>
    <w:rsid w:val="00097C83"/>
    <w:rsid w:val="00097FE0"/>
    <w:rsid w:val="000A0344"/>
    <w:rsid w:val="000A0823"/>
    <w:rsid w:val="000A0EF3"/>
    <w:rsid w:val="000A1F1F"/>
    <w:rsid w:val="000A1F9D"/>
    <w:rsid w:val="000A21D6"/>
    <w:rsid w:val="000A260D"/>
    <w:rsid w:val="000A2F4F"/>
    <w:rsid w:val="000A31D1"/>
    <w:rsid w:val="000A31EF"/>
    <w:rsid w:val="000A3354"/>
    <w:rsid w:val="000A339F"/>
    <w:rsid w:val="000A3733"/>
    <w:rsid w:val="000A43B0"/>
    <w:rsid w:val="000A44F5"/>
    <w:rsid w:val="000A45F0"/>
    <w:rsid w:val="000A4C7B"/>
    <w:rsid w:val="000A4D4C"/>
    <w:rsid w:val="000A4FEA"/>
    <w:rsid w:val="000A53E6"/>
    <w:rsid w:val="000A5727"/>
    <w:rsid w:val="000A574B"/>
    <w:rsid w:val="000A5B04"/>
    <w:rsid w:val="000A5E2A"/>
    <w:rsid w:val="000A6416"/>
    <w:rsid w:val="000A643B"/>
    <w:rsid w:val="000A682B"/>
    <w:rsid w:val="000A707A"/>
    <w:rsid w:val="000A78BA"/>
    <w:rsid w:val="000A7BB9"/>
    <w:rsid w:val="000B0710"/>
    <w:rsid w:val="000B08AC"/>
    <w:rsid w:val="000B0E46"/>
    <w:rsid w:val="000B0E67"/>
    <w:rsid w:val="000B1790"/>
    <w:rsid w:val="000B1ACB"/>
    <w:rsid w:val="000B1C11"/>
    <w:rsid w:val="000B1D13"/>
    <w:rsid w:val="000B29B8"/>
    <w:rsid w:val="000B2A27"/>
    <w:rsid w:val="000B380F"/>
    <w:rsid w:val="000B4292"/>
    <w:rsid w:val="000B4A6A"/>
    <w:rsid w:val="000B50FB"/>
    <w:rsid w:val="000B515D"/>
    <w:rsid w:val="000B5A74"/>
    <w:rsid w:val="000B5C4E"/>
    <w:rsid w:val="000B5FA3"/>
    <w:rsid w:val="000B6AF6"/>
    <w:rsid w:val="000B6BF5"/>
    <w:rsid w:val="000B7572"/>
    <w:rsid w:val="000B7FF2"/>
    <w:rsid w:val="000C02AB"/>
    <w:rsid w:val="000C1051"/>
    <w:rsid w:val="000C1A8C"/>
    <w:rsid w:val="000C1F04"/>
    <w:rsid w:val="000C2353"/>
    <w:rsid w:val="000C2892"/>
    <w:rsid w:val="000C2B3C"/>
    <w:rsid w:val="000C2D4D"/>
    <w:rsid w:val="000C305A"/>
    <w:rsid w:val="000C30D7"/>
    <w:rsid w:val="000C3105"/>
    <w:rsid w:val="000C34DD"/>
    <w:rsid w:val="000C37BC"/>
    <w:rsid w:val="000C3B6E"/>
    <w:rsid w:val="000C482F"/>
    <w:rsid w:val="000C4992"/>
    <w:rsid w:val="000C4FA1"/>
    <w:rsid w:val="000C5299"/>
    <w:rsid w:val="000C5468"/>
    <w:rsid w:val="000C55CC"/>
    <w:rsid w:val="000C5852"/>
    <w:rsid w:val="000C5D0E"/>
    <w:rsid w:val="000C6081"/>
    <w:rsid w:val="000C60C9"/>
    <w:rsid w:val="000C6A4A"/>
    <w:rsid w:val="000C6AFD"/>
    <w:rsid w:val="000C702C"/>
    <w:rsid w:val="000D02F8"/>
    <w:rsid w:val="000D06FA"/>
    <w:rsid w:val="000D098B"/>
    <w:rsid w:val="000D0B60"/>
    <w:rsid w:val="000D0DDA"/>
    <w:rsid w:val="000D0ED5"/>
    <w:rsid w:val="000D113E"/>
    <w:rsid w:val="000D1169"/>
    <w:rsid w:val="000D15C5"/>
    <w:rsid w:val="000D1687"/>
    <w:rsid w:val="000D1DAF"/>
    <w:rsid w:val="000D28A5"/>
    <w:rsid w:val="000D31C1"/>
    <w:rsid w:val="000D36B2"/>
    <w:rsid w:val="000D36BF"/>
    <w:rsid w:val="000D39FD"/>
    <w:rsid w:val="000D3E10"/>
    <w:rsid w:val="000D4833"/>
    <w:rsid w:val="000D4885"/>
    <w:rsid w:val="000D49D2"/>
    <w:rsid w:val="000D4A88"/>
    <w:rsid w:val="000D4B96"/>
    <w:rsid w:val="000D4BBC"/>
    <w:rsid w:val="000D4D90"/>
    <w:rsid w:val="000D4E26"/>
    <w:rsid w:val="000D4F00"/>
    <w:rsid w:val="000D5000"/>
    <w:rsid w:val="000D5176"/>
    <w:rsid w:val="000D54D1"/>
    <w:rsid w:val="000D5EDB"/>
    <w:rsid w:val="000D6616"/>
    <w:rsid w:val="000D6C0F"/>
    <w:rsid w:val="000D6F1E"/>
    <w:rsid w:val="000D7A95"/>
    <w:rsid w:val="000D7BBD"/>
    <w:rsid w:val="000E039A"/>
    <w:rsid w:val="000E03C0"/>
    <w:rsid w:val="000E0654"/>
    <w:rsid w:val="000E13AF"/>
    <w:rsid w:val="000E13F1"/>
    <w:rsid w:val="000E19B3"/>
    <w:rsid w:val="000E1CA2"/>
    <w:rsid w:val="000E1DA0"/>
    <w:rsid w:val="000E283B"/>
    <w:rsid w:val="000E28E2"/>
    <w:rsid w:val="000E2970"/>
    <w:rsid w:val="000E2B40"/>
    <w:rsid w:val="000E2CE6"/>
    <w:rsid w:val="000E35A3"/>
    <w:rsid w:val="000E369A"/>
    <w:rsid w:val="000E3CC1"/>
    <w:rsid w:val="000E42F6"/>
    <w:rsid w:val="000E49B2"/>
    <w:rsid w:val="000E5331"/>
    <w:rsid w:val="000E535E"/>
    <w:rsid w:val="000E5526"/>
    <w:rsid w:val="000E59FC"/>
    <w:rsid w:val="000E5A5A"/>
    <w:rsid w:val="000E5D6B"/>
    <w:rsid w:val="000E5FE0"/>
    <w:rsid w:val="000E62DF"/>
    <w:rsid w:val="000E6D5D"/>
    <w:rsid w:val="000E7168"/>
    <w:rsid w:val="000F04CC"/>
    <w:rsid w:val="000F05D5"/>
    <w:rsid w:val="000F1DEB"/>
    <w:rsid w:val="000F1EC0"/>
    <w:rsid w:val="000F1F7A"/>
    <w:rsid w:val="000F202E"/>
    <w:rsid w:val="000F299A"/>
    <w:rsid w:val="000F3025"/>
    <w:rsid w:val="000F3491"/>
    <w:rsid w:val="000F3986"/>
    <w:rsid w:val="000F3C45"/>
    <w:rsid w:val="000F3DE6"/>
    <w:rsid w:val="000F448C"/>
    <w:rsid w:val="000F44E7"/>
    <w:rsid w:val="000F4614"/>
    <w:rsid w:val="000F49F1"/>
    <w:rsid w:val="000F4A5C"/>
    <w:rsid w:val="000F4C41"/>
    <w:rsid w:val="000F4FA7"/>
    <w:rsid w:val="000F50B5"/>
    <w:rsid w:val="000F52D1"/>
    <w:rsid w:val="000F536A"/>
    <w:rsid w:val="000F541D"/>
    <w:rsid w:val="000F5AD1"/>
    <w:rsid w:val="000F5C8B"/>
    <w:rsid w:val="000F64D7"/>
    <w:rsid w:val="000F69FA"/>
    <w:rsid w:val="000F6C12"/>
    <w:rsid w:val="000F7577"/>
    <w:rsid w:val="000F7974"/>
    <w:rsid w:val="000F7ECD"/>
    <w:rsid w:val="000F7F0E"/>
    <w:rsid w:val="000F7F38"/>
    <w:rsid w:val="000F7FB5"/>
    <w:rsid w:val="00100317"/>
    <w:rsid w:val="001004C1"/>
    <w:rsid w:val="001004EE"/>
    <w:rsid w:val="001007FF"/>
    <w:rsid w:val="001011EC"/>
    <w:rsid w:val="001017C1"/>
    <w:rsid w:val="00101826"/>
    <w:rsid w:val="00101A86"/>
    <w:rsid w:val="00101E92"/>
    <w:rsid w:val="00101F40"/>
    <w:rsid w:val="00102298"/>
    <w:rsid w:val="00102C79"/>
    <w:rsid w:val="00102EC2"/>
    <w:rsid w:val="0010330A"/>
    <w:rsid w:val="00103847"/>
    <w:rsid w:val="00103913"/>
    <w:rsid w:val="00104B28"/>
    <w:rsid w:val="00105234"/>
    <w:rsid w:val="00105316"/>
    <w:rsid w:val="001057E1"/>
    <w:rsid w:val="001058C1"/>
    <w:rsid w:val="00105E16"/>
    <w:rsid w:val="00105E2B"/>
    <w:rsid w:val="0010619C"/>
    <w:rsid w:val="0010664D"/>
    <w:rsid w:val="00106A20"/>
    <w:rsid w:val="00106D16"/>
    <w:rsid w:val="00107B62"/>
    <w:rsid w:val="001101E6"/>
    <w:rsid w:val="00110510"/>
    <w:rsid w:val="0011076D"/>
    <w:rsid w:val="00110DB1"/>
    <w:rsid w:val="00110DF0"/>
    <w:rsid w:val="0011149E"/>
    <w:rsid w:val="001114D0"/>
    <w:rsid w:val="00111703"/>
    <w:rsid w:val="001119D9"/>
    <w:rsid w:val="00111AA3"/>
    <w:rsid w:val="00111F29"/>
    <w:rsid w:val="00111F40"/>
    <w:rsid w:val="00112688"/>
    <w:rsid w:val="00113348"/>
    <w:rsid w:val="00113404"/>
    <w:rsid w:val="001134B4"/>
    <w:rsid w:val="00113B76"/>
    <w:rsid w:val="00113DE8"/>
    <w:rsid w:val="0011424C"/>
    <w:rsid w:val="0011478A"/>
    <w:rsid w:val="001149C9"/>
    <w:rsid w:val="00114B56"/>
    <w:rsid w:val="00114B96"/>
    <w:rsid w:val="00114E47"/>
    <w:rsid w:val="00115123"/>
    <w:rsid w:val="00115A1E"/>
    <w:rsid w:val="00115A20"/>
    <w:rsid w:val="00115D2C"/>
    <w:rsid w:val="00115F66"/>
    <w:rsid w:val="0011633C"/>
    <w:rsid w:val="00116647"/>
    <w:rsid w:val="00116A85"/>
    <w:rsid w:val="00116CA9"/>
    <w:rsid w:val="00116F84"/>
    <w:rsid w:val="00117BB9"/>
    <w:rsid w:val="00117D38"/>
    <w:rsid w:val="00117D7A"/>
    <w:rsid w:val="00120112"/>
    <w:rsid w:val="001201B0"/>
    <w:rsid w:val="00120EA1"/>
    <w:rsid w:val="00121789"/>
    <w:rsid w:val="0012181E"/>
    <w:rsid w:val="00122048"/>
    <w:rsid w:val="001220DB"/>
    <w:rsid w:val="001228A0"/>
    <w:rsid w:val="00122B7D"/>
    <w:rsid w:val="00122DEA"/>
    <w:rsid w:val="00123C48"/>
    <w:rsid w:val="00123E23"/>
    <w:rsid w:val="00123EFF"/>
    <w:rsid w:val="001241F7"/>
    <w:rsid w:val="00124D1A"/>
    <w:rsid w:val="001251AF"/>
    <w:rsid w:val="0012554D"/>
    <w:rsid w:val="00125654"/>
    <w:rsid w:val="00125D0D"/>
    <w:rsid w:val="00125D9D"/>
    <w:rsid w:val="00125DC1"/>
    <w:rsid w:val="001263E8"/>
    <w:rsid w:val="00127810"/>
    <w:rsid w:val="0012798A"/>
    <w:rsid w:val="001300A8"/>
    <w:rsid w:val="001301E6"/>
    <w:rsid w:val="001304F2"/>
    <w:rsid w:val="00130C4C"/>
    <w:rsid w:val="00130F93"/>
    <w:rsid w:val="001313EB"/>
    <w:rsid w:val="0013154D"/>
    <w:rsid w:val="00131CCF"/>
    <w:rsid w:val="00131E80"/>
    <w:rsid w:val="0013222E"/>
    <w:rsid w:val="001322B2"/>
    <w:rsid w:val="001328D2"/>
    <w:rsid w:val="00133CE6"/>
    <w:rsid w:val="001343F1"/>
    <w:rsid w:val="00134904"/>
    <w:rsid w:val="001349AB"/>
    <w:rsid w:val="00134F4E"/>
    <w:rsid w:val="00134FB0"/>
    <w:rsid w:val="001350AC"/>
    <w:rsid w:val="001352EC"/>
    <w:rsid w:val="0013543B"/>
    <w:rsid w:val="00135A2E"/>
    <w:rsid w:val="00135E0B"/>
    <w:rsid w:val="00135F37"/>
    <w:rsid w:val="001361A8"/>
    <w:rsid w:val="001362EC"/>
    <w:rsid w:val="001365A5"/>
    <w:rsid w:val="001368CC"/>
    <w:rsid w:val="00136AB1"/>
    <w:rsid w:val="001372CA"/>
    <w:rsid w:val="00137AFD"/>
    <w:rsid w:val="00137EBB"/>
    <w:rsid w:val="0014012A"/>
    <w:rsid w:val="001405D6"/>
    <w:rsid w:val="00140AD8"/>
    <w:rsid w:val="00140BE4"/>
    <w:rsid w:val="00141130"/>
    <w:rsid w:val="001411DE"/>
    <w:rsid w:val="00141399"/>
    <w:rsid w:val="00141962"/>
    <w:rsid w:val="00141A0B"/>
    <w:rsid w:val="00141AF4"/>
    <w:rsid w:val="00141F00"/>
    <w:rsid w:val="00142241"/>
    <w:rsid w:val="00142E09"/>
    <w:rsid w:val="0014377B"/>
    <w:rsid w:val="00143D3A"/>
    <w:rsid w:val="001443AF"/>
    <w:rsid w:val="00144D09"/>
    <w:rsid w:val="00145277"/>
    <w:rsid w:val="00145808"/>
    <w:rsid w:val="00145D7D"/>
    <w:rsid w:val="00145F65"/>
    <w:rsid w:val="001460E0"/>
    <w:rsid w:val="00146902"/>
    <w:rsid w:val="00146DFA"/>
    <w:rsid w:val="00147761"/>
    <w:rsid w:val="00147986"/>
    <w:rsid w:val="00147B68"/>
    <w:rsid w:val="00147BB3"/>
    <w:rsid w:val="0015018D"/>
    <w:rsid w:val="00150228"/>
    <w:rsid w:val="001502C3"/>
    <w:rsid w:val="001504E8"/>
    <w:rsid w:val="00150536"/>
    <w:rsid w:val="00151ADE"/>
    <w:rsid w:val="00152A3B"/>
    <w:rsid w:val="00152D63"/>
    <w:rsid w:val="00152DCD"/>
    <w:rsid w:val="001533B2"/>
    <w:rsid w:val="001534CA"/>
    <w:rsid w:val="0015369A"/>
    <w:rsid w:val="0015386A"/>
    <w:rsid w:val="00153E85"/>
    <w:rsid w:val="001540F9"/>
    <w:rsid w:val="00154E90"/>
    <w:rsid w:val="001553D8"/>
    <w:rsid w:val="00155564"/>
    <w:rsid w:val="001557A9"/>
    <w:rsid w:val="00155878"/>
    <w:rsid w:val="0015599D"/>
    <w:rsid w:val="00155A36"/>
    <w:rsid w:val="001569A5"/>
    <w:rsid w:val="001572AC"/>
    <w:rsid w:val="001573F1"/>
    <w:rsid w:val="0015755C"/>
    <w:rsid w:val="00157EB4"/>
    <w:rsid w:val="001600C9"/>
    <w:rsid w:val="00160308"/>
    <w:rsid w:val="001604E1"/>
    <w:rsid w:val="0016052B"/>
    <w:rsid w:val="00160957"/>
    <w:rsid w:val="00160B56"/>
    <w:rsid w:val="00160CDA"/>
    <w:rsid w:val="0016159C"/>
    <w:rsid w:val="00161833"/>
    <w:rsid w:val="00161E62"/>
    <w:rsid w:val="00161F05"/>
    <w:rsid w:val="001621FE"/>
    <w:rsid w:val="00162797"/>
    <w:rsid w:val="00162A20"/>
    <w:rsid w:val="00162C49"/>
    <w:rsid w:val="00163025"/>
    <w:rsid w:val="0016370B"/>
    <w:rsid w:val="0016487E"/>
    <w:rsid w:val="00164CD1"/>
    <w:rsid w:val="001655BD"/>
    <w:rsid w:val="00165810"/>
    <w:rsid w:val="00165A24"/>
    <w:rsid w:val="00165E36"/>
    <w:rsid w:val="0016614B"/>
    <w:rsid w:val="001665FD"/>
    <w:rsid w:val="0016686D"/>
    <w:rsid w:val="0016691F"/>
    <w:rsid w:val="00166D6D"/>
    <w:rsid w:val="00167104"/>
    <w:rsid w:val="00167A72"/>
    <w:rsid w:val="0017080F"/>
    <w:rsid w:val="00170972"/>
    <w:rsid w:val="00170B6F"/>
    <w:rsid w:val="00170BD4"/>
    <w:rsid w:val="001711E3"/>
    <w:rsid w:val="00171529"/>
    <w:rsid w:val="00171625"/>
    <w:rsid w:val="00171F36"/>
    <w:rsid w:val="0017228A"/>
    <w:rsid w:val="00172464"/>
    <w:rsid w:val="00172600"/>
    <w:rsid w:val="00172614"/>
    <w:rsid w:val="00172672"/>
    <w:rsid w:val="00172AA4"/>
    <w:rsid w:val="0017308E"/>
    <w:rsid w:val="00173309"/>
    <w:rsid w:val="0017357E"/>
    <w:rsid w:val="001735A8"/>
    <w:rsid w:val="00173881"/>
    <w:rsid w:val="001740E5"/>
    <w:rsid w:val="001741F4"/>
    <w:rsid w:val="00174587"/>
    <w:rsid w:val="0017474C"/>
    <w:rsid w:val="00174783"/>
    <w:rsid w:val="00175CF4"/>
    <w:rsid w:val="001763FA"/>
    <w:rsid w:val="001763FC"/>
    <w:rsid w:val="00176592"/>
    <w:rsid w:val="001768FD"/>
    <w:rsid w:val="00176A27"/>
    <w:rsid w:val="00176A60"/>
    <w:rsid w:val="00176B20"/>
    <w:rsid w:val="00176E7D"/>
    <w:rsid w:val="00177026"/>
    <w:rsid w:val="00177187"/>
    <w:rsid w:val="001773BC"/>
    <w:rsid w:val="001774E6"/>
    <w:rsid w:val="001776CC"/>
    <w:rsid w:val="00177F98"/>
    <w:rsid w:val="00180887"/>
    <w:rsid w:val="00180A83"/>
    <w:rsid w:val="00180D65"/>
    <w:rsid w:val="001813AB"/>
    <w:rsid w:val="001819C6"/>
    <w:rsid w:val="00181B78"/>
    <w:rsid w:val="0018211C"/>
    <w:rsid w:val="001821F8"/>
    <w:rsid w:val="0018246A"/>
    <w:rsid w:val="00182CBE"/>
    <w:rsid w:val="00182EBE"/>
    <w:rsid w:val="001831B3"/>
    <w:rsid w:val="0018334A"/>
    <w:rsid w:val="0018396A"/>
    <w:rsid w:val="001845FA"/>
    <w:rsid w:val="0018521A"/>
    <w:rsid w:val="0018522B"/>
    <w:rsid w:val="00185425"/>
    <w:rsid w:val="00185457"/>
    <w:rsid w:val="001854A8"/>
    <w:rsid w:val="001854BC"/>
    <w:rsid w:val="00185D40"/>
    <w:rsid w:val="00186C17"/>
    <w:rsid w:val="00187284"/>
    <w:rsid w:val="0018761A"/>
    <w:rsid w:val="0018787A"/>
    <w:rsid w:val="00187A73"/>
    <w:rsid w:val="00187FD1"/>
    <w:rsid w:val="00190180"/>
    <w:rsid w:val="001908C1"/>
    <w:rsid w:val="00190A43"/>
    <w:rsid w:val="00190D0B"/>
    <w:rsid w:val="001912FB"/>
    <w:rsid w:val="00191608"/>
    <w:rsid w:val="00191664"/>
    <w:rsid w:val="00192065"/>
    <w:rsid w:val="00192167"/>
    <w:rsid w:val="00193971"/>
    <w:rsid w:val="00194085"/>
    <w:rsid w:val="001941AA"/>
    <w:rsid w:val="00194F73"/>
    <w:rsid w:val="001951D5"/>
    <w:rsid w:val="00195EC2"/>
    <w:rsid w:val="00195F99"/>
    <w:rsid w:val="00196BF1"/>
    <w:rsid w:val="00196C40"/>
    <w:rsid w:val="00197041"/>
    <w:rsid w:val="001A016C"/>
    <w:rsid w:val="001A0422"/>
    <w:rsid w:val="001A0BEE"/>
    <w:rsid w:val="001A102F"/>
    <w:rsid w:val="001A15E2"/>
    <w:rsid w:val="001A1A27"/>
    <w:rsid w:val="001A1A61"/>
    <w:rsid w:val="001A1ED0"/>
    <w:rsid w:val="001A1EFA"/>
    <w:rsid w:val="001A1FAC"/>
    <w:rsid w:val="001A1FC1"/>
    <w:rsid w:val="001A27EE"/>
    <w:rsid w:val="001A35A6"/>
    <w:rsid w:val="001A368A"/>
    <w:rsid w:val="001A3963"/>
    <w:rsid w:val="001A3BD3"/>
    <w:rsid w:val="001A40E8"/>
    <w:rsid w:val="001A41DF"/>
    <w:rsid w:val="001A43F5"/>
    <w:rsid w:val="001A4B66"/>
    <w:rsid w:val="001A4CA5"/>
    <w:rsid w:val="001A4E0E"/>
    <w:rsid w:val="001A4E8C"/>
    <w:rsid w:val="001A4EF7"/>
    <w:rsid w:val="001A4F6E"/>
    <w:rsid w:val="001A5A21"/>
    <w:rsid w:val="001A5A62"/>
    <w:rsid w:val="001A5ABD"/>
    <w:rsid w:val="001A5CE0"/>
    <w:rsid w:val="001A5CF7"/>
    <w:rsid w:val="001A60E2"/>
    <w:rsid w:val="001A69F0"/>
    <w:rsid w:val="001A71DD"/>
    <w:rsid w:val="001A7534"/>
    <w:rsid w:val="001A75E7"/>
    <w:rsid w:val="001A79AA"/>
    <w:rsid w:val="001A7ACF"/>
    <w:rsid w:val="001A7C06"/>
    <w:rsid w:val="001A7C3B"/>
    <w:rsid w:val="001A7F95"/>
    <w:rsid w:val="001B07B0"/>
    <w:rsid w:val="001B0992"/>
    <w:rsid w:val="001B0AC4"/>
    <w:rsid w:val="001B0E89"/>
    <w:rsid w:val="001B109A"/>
    <w:rsid w:val="001B1120"/>
    <w:rsid w:val="001B15E2"/>
    <w:rsid w:val="001B163A"/>
    <w:rsid w:val="001B22AA"/>
    <w:rsid w:val="001B253D"/>
    <w:rsid w:val="001B277C"/>
    <w:rsid w:val="001B277F"/>
    <w:rsid w:val="001B2C6A"/>
    <w:rsid w:val="001B2F19"/>
    <w:rsid w:val="001B35B2"/>
    <w:rsid w:val="001B35ED"/>
    <w:rsid w:val="001B369D"/>
    <w:rsid w:val="001B4319"/>
    <w:rsid w:val="001B4355"/>
    <w:rsid w:val="001B450E"/>
    <w:rsid w:val="001B46DB"/>
    <w:rsid w:val="001B4F75"/>
    <w:rsid w:val="001B517A"/>
    <w:rsid w:val="001B5DDB"/>
    <w:rsid w:val="001B62D3"/>
    <w:rsid w:val="001B6640"/>
    <w:rsid w:val="001B7087"/>
    <w:rsid w:val="001B74F4"/>
    <w:rsid w:val="001B75DC"/>
    <w:rsid w:val="001B789A"/>
    <w:rsid w:val="001B7B83"/>
    <w:rsid w:val="001C0136"/>
    <w:rsid w:val="001C0A10"/>
    <w:rsid w:val="001C0A6E"/>
    <w:rsid w:val="001C0AD1"/>
    <w:rsid w:val="001C0BCC"/>
    <w:rsid w:val="001C117D"/>
    <w:rsid w:val="001C120F"/>
    <w:rsid w:val="001C151F"/>
    <w:rsid w:val="001C1F9C"/>
    <w:rsid w:val="001C226A"/>
    <w:rsid w:val="001C236E"/>
    <w:rsid w:val="001C263F"/>
    <w:rsid w:val="001C29E7"/>
    <w:rsid w:val="001C3119"/>
    <w:rsid w:val="001C32C6"/>
    <w:rsid w:val="001C3E2D"/>
    <w:rsid w:val="001C48C7"/>
    <w:rsid w:val="001C4A9E"/>
    <w:rsid w:val="001C5962"/>
    <w:rsid w:val="001C5F84"/>
    <w:rsid w:val="001C674A"/>
    <w:rsid w:val="001C6A95"/>
    <w:rsid w:val="001C6CAB"/>
    <w:rsid w:val="001C6CC1"/>
    <w:rsid w:val="001C6EDD"/>
    <w:rsid w:val="001C7130"/>
    <w:rsid w:val="001C72FC"/>
    <w:rsid w:val="001C7B74"/>
    <w:rsid w:val="001C7E70"/>
    <w:rsid w:val="001D0068"/>
    <w:rsid w:val="001D01C6"/>
    <w:rsid w:val="001D092F"/>
    <w:rsid w:val="001D1AEF"/>
    <w:rsid w:val="001D1CEE"/>
    <w:rsid w:val="001D2113"/>
    <w:rsid w:val="001D244E"/>
    <w:rsid w:val="001D24F1"/>
    <w:rsid w:val="001D286C"/>
    <w:rsid w:val="001D3031"/>
    <w:rsid w:val="001D3369"/>
    <w:rsid w:val="001D33B8"/>
    <w:rsid w:val="001D3897"/>
    <w:rsid w:val="001D3AD1"/>
    <w:rsid w:val="001D4058"/>
    <w:rsid w:val="001D4152"/>
    <w:rsid w:val="001D45D2"/>
    <w:rsid w:val="001D478B"/>
    <w:rsid w:val="001D4816"/>
    <w:rsid w:val="001D4970"/>
    <w:rsid w:val="001D4A86"/>
    <w:rsid w:val="001D55C5"/>
    <w:rsid w:val="001D598B"/>
    <w:rsid w:val="001D5F02"/>
    <w:rsid w:val="001D6178"/>
    <w:rsid w:val="001D6186"/>
    <w:rsid w:val="001D6269"/>
    <w:rsid w:val="001D62AF"/>
    <w:rsid w:val="001D62CE"/>
    <w:rsid w:val="001D637E"/>
    <w:rsid w:val="001D6652"/>
    <w:rsid w:val="001D69E5"/>
    <w:rsid w:val="001D6B3D"/>
    <w:rsid w:val="001D6ED5"/>
    <w:rsid w:val="001D7104"/>
    <w:rsid w:val="001D7898"/>
    <w:rsid w:val="001E00CD"/>
    <w:rsid w:val="001E0360"/>
    <w:rsid w:val="001E075F"/>
    <w:rsid w:val="001E0933"/>
    <w:rsid w:val="001E0E13"/>
    <w:rsid w:val="001E14CB"/>
    <w:rsid w:val="001E14E8"/>
    <w:rsid w:val="001E1627"/>
    <w:rsid w:val="001E18BD"/>
    <w:rsid w:val="001E1A7C"/>
    <w:rsid w:val="001E1DBA"/>
    <w:rsid w:val="001E1EF2"/>
    <w:rsid w:val="001E290B"/>
    <w:rsid w:val="001E385F"/>
    <w:rsid w:val="001E39E4"/>
    <w:rsid w:val="001E45E7"/>
    <w:rsid w:val="001E490C"/>
    <w:rsid w:val="001E4B87"/>
    <w:rsid w:val="001E4C68"/>
    <w:rsid w:val="001E50FD"/>
    <w:rsid w:val="001E5310"/>
    <w:rsid w:val="001E5920"/>
    <w:rsid w:val="001E59DC"/>
    <w:rsid w:val="001E5B4E"/>
    <w:rsid w:val="001E5DD7"/>
    <w:rsid w:val="001E5EEE"/>
    <w:rsid w:val="001E5F4A"/>
    <w:rsid w:val="001E6553"/>
    <w:rsid w:val="001E7358"/>
    <w:rsid w:val="001E76C3"/>
    <w:rsid w:val="001E7964"/>
    <w:rsid w:val="001E7C72"/>
    <w:rsid w:val="001E7EDD"/>
    <w:rsid w:val="001F02CD"/>
    <w:rsid w:val="001F05DA"/>
    <w:rsid w:val="001F091F"/>
    <w:rsid w:val="001F0B7F"/>
    <w:rsid w:val="001F0CD0"/>
    <w:rsid w:val="001F0F71"/>
    <w:rsid w:val="001F1279"/>
    <w:rsid w:val="001F15B1"/>
    <w:rsid w:val="001F19D1"/>
    <w:rsid w:val="001F1B69"/>
    <w:rsid w:val="001F1C8F"/>
    <w:rsid w:val="001F1D9A"/>
    <w:rsid w:val="001F2740"/>
    <w:rsid w:val="001F2C3A"/>
    <w:rsid w:val="001F2C6B"/>
    <w:rsid w:val="001F2F19"/>
    <w:rsid w:val="001F314C"/>
    <w:rsid w:val="001F3531"/>
    <w:rsid w:val="001F3543"/>
    <w:rsid w:val="001F3696"/>
    <w:rsid w:val="001F3F85"/>
    <w:rsid w:val="001F42FF"/>
    <w:rsid w:val="001F44B4"/>
    <w:rsid w:val="001F44D3"/>
    <w:rsid w:val="001F4510"/>
    <w:rsid w:val="001F4BA5"/>
    <w:rsid w:val="001F5293"/>
    <w:rsid w:val="001F58D3"/>
    <w:rsid w:val="001F59C6"/>
    <w:rsid w:val="001F60DA"/>
    <w:rsid w:val="001F628E"/>
    <w:rsid w:val="001F65A4"/>
    <w:rsid w:val="001F65E0"/>
    <w:rsid w:val="001F68A8"/>
    <w:rsid w:val="001F6B53"/>
    <w:rsid w:val="001F6EE3"/>
    <w:rsid w:val="001F7362"/>
    <w:rsid w:val="001F7AE9"/>
    <w:rsid w:val="001F7C56"/>
    <w:rsid w:val="001F7CBF"/>
    <w:rsid w:val="001F7CFD"/>
    <w:rsid w:val="0020084F"/>
    <w:rsid w:val="002011D5"/>
    <w:rsid w:val="00201C2D"/>
    <w:rsid w:val="0020233B"/>
    <w:rsid w:val="002025F9"/>
    <w:rsid w:val="00202E6B"/>
    <w:rsid w:val="00203367"/>
    <w:rsid w:val="00203C06"/>
    <w:rsid w:val="00204438"/>
    <w:rsid w:val="002044F9"/>
    <w:rsid w:val="00204508"/>
    <w:rsid w:val="00204A44"/>
    <w:rsid w:val="00204BFC"/>
    <w:rsid w:val="00204E21"/>
    <w:rsid w:val="00204F6E"/>
    <w:rsid w:val="002054AD"/>
    <w:rsid w:val="00206147"/>
    <w:rsid w:val="002064F3"/>
    <w:rsid w:val="002069A8"/>
    <w:rsid w:val="00206B2B"/>
    <w:rsid w:val="00206C70"/>
    <w:rsid w:val="00206EE7"/>
    <w:rsid w:val="0020789A"/>
    <w:rsid w:val="00207C83"/>
    <w:rsid w:val="002103FF"/>
    <w:rsid w:val="00210869"/>
    <w:rsid w:val="00210CBF"/>
    <w:rsid w:val="002116AD"/>
    <w:rsid w:val="00211999"/>
    <w:rsid w:val="002119E9"/>
    <w:rsid w:val="00211B44"/>
    <w:rsid w:val="00212012"/>
    <w:rsid w:val="002120A6"/>
    <w:rsid w:val="002122B8"/>
    <w:rsid w:val="002123A4"/>
    <w:rsid w:val="002126CD"/>
    <w:rsid w:val="00212A54"/>
    <w:rsid w:val="00212EC9"/>
    <w:rsid w:val="00213773"/>
    <w:rsid w:val="00213B0E"/>
    <w:rsid w:val="00213B62"/>
    <w:rsid w:val="00213CBC"/>
    <w:rsid w:val="00213E1B"/>
    <w:rsid w:val="002141FB"/>
    <w:rsid w:val="00214241"/>
    <w:rsid w:val="00214447"/>
    <w:rsid w:val="002146CA"/>
    <w:rsid w:val="002147D6"/>
    <w:rsid w:val="00214A2A"/>
    <w:rsid w:val="00214BEB"/>
    <w:rsid w:val="002154C2"/>
    <w:rsid w:val="0021575B"/>
    <w:rsid w:val="00215783"/>
    <w:rsid w:val="0021669B"/>
    <w:rsid w:val="002166C7"/>
    <w:rsid w:val="00216876"/>
    <w:rsid w:val="002168C9"/>
    <w:rsid w:val="00217451"/>
    <w:rsid w:val="00217A9C"/>
    <w:rsid w:val="00217EA1"/>
    <w:rsid w:val="00220006"/>
    <w:rsid w:val="002200D2"/>
    <w:rsid w:val="0022018A"/>
    <w:rsid w:val="0022039A"/>
    <w:rsid w:val="00220ADA"/>
    <w:rsid w:val="00220B7B"/>
    <w:rsid w:val="0022180E"/>
    <w:rsid w:val="00221B60"/>
    <w:rsid w:val="00221FA1"/>
    <w:rsid w:val="002220BA"/>
    <w:rsid w:val="00222546"/>
    <w:rsid w:val="00222796"/>
    <w:rsid w:val="002227B3"/>
    <w:rsid w:val="002227F5"/>
    <w:rsid w:val="00222CE3"/>
    <w:rsid w:val="002235D7"/>
    <w:rsid w:val="002239C4"/>
    <w:rsid w:val="00224617"/>
    <w:rsid w:val="00224B06"/>
    <w:rsid w:val="00225591"/>
    <w:rsid w:val="00225690"/>
    <w:rsid w:val="0022574F"/>
    <w:rsid w:val="00225910"/>
    <w:rsid w:val="0022593A"/>
    <w:rsid w:val="00225B52"/>
    <w:rsid w:val="00225CE3"/>
    <w:rsid w:val="00225D3F"/>
    <w:rsid w:val="002260D7"/>
    <w:rsid w:val="00226496"/>
    <w:rsid w:val="00226B17"/>
    <w:rsid w:val="00226FFA"/>
    <w:rsid w:val="0022712B"/>
    <w:rsid w:val="002273DB"/>
    <w:rsid w:val="0022740B"/>
    <w:rsid w:val="002276A4"/>
    <w:rsid w:val="00227843"/>
    <w:rsid w:val="00227A99"/>
    <w:rsid w:val="00227C8B"/>
    <w:rsid w:val="00227CC8"/>
    <w:rsid w:val="00230A44"/>
    <w:rsid w:val="00230A52"/>
    <w:rsid w:val="00230FA5"/>
    <w:rsid w:val="00231131"/>
    <w:rsid w:val="0023170E"/>
    <w:rsid w:val="00231839"/>
    <w:rsid w:val="00231A67"/>
    <w:rsid w:val="00232371"/>
    <w:rsid w:val="00232423"/>
    <w:rsid w:val="0023262B"/>
    <w:rsid w:val="00232A4E"/>
    <w:rsid w:val="0023307F"/>
    <w:rsid w:val="00233A7D"/>
    <w:rsid w:val="00234035"/>
    <w:rsid w:val="002346C6"/>
    <w:rsid w:val="0023476D"/>
    <w:rsid w:val="0023482B"/>
    <w:rsid w:val="0023482C"/>
    <w:rsid w:val="00234AA4"/>
    <w:rsid w:val="00234C7F"/>
    <w:rsid w:val="00234E62"/>
    <w:rsid w:val="00234F8F"/>
    <w:rsid w:val="00234FD2"/>
    <w:rsid w:val="00235AD3"/>
    <w:rsid w:val="0023658F"/>
    <w:rsid w:val="00236800"/>
    <w:rsid w:val="00236872"/>
    <w:rsid w:val="00236890"/>
    <w:rsid w:val="002368C0"/>
    <w:rsid w:val="00236AA1"/>
    <w:rsid w:val="00236AC0"/>
    <w:rsid w:val="00236CC2"/>
    <w:rsid w:val="00236CDE"/>
    <w:rsid w:val="0023763A"/>
    <w:rsid w:val="00237D7D"/>
    <w:rsid w:val="002403DF"/>
    <w:rsid w:val="002404D1"/>
    <w:rsid w:val="002405C8"/>
    <w:rsid w:val="00240ECB"/>
    <w:rsid w:val="002415DA"/>
    <w:rsid w:val="00241857"/>
    <w:rsid w:val="0024285E"/>
    <w:rsid w:val="00242997"/>
    <w:rsid w:val="00242F79"/>
    <w:rsid w:val="00242FA8"/>
    <w:rsid w:val="0024307E"/>
    <w:rsid w:val="0024310E"/>
    <w:rsid w:val="00243161"/>
    <w:rsid w:val="00243204"/>
    <w:rsid w:val="0024393A"/>
    <w:rsid w:val="00243AC5"/>
    <w:rsid w:val="00243F11"/>
    <w:rsid w:val="0024405D"/>
    <w:rsid w:val="00244317"/>
    <w:rsid w:val="00244516"/>
    <w:rsid w:val="00244745"/>
    <w:rsid w:val="00244A0C"/>
    <w:rsid w:val="00244CF8"/>
    <w:rsid w:val="0024508B"/>
    <w:rsid w:val="002454F0"/>
    <w:rsid w:val="002456C9"/>
    <w:rsid w:val="002456FB"/>
    <w:rsid w:val="00245B9E"/>
    <w:rsid w:val="002465AC"/>
    <w:rsid w:val="002465EC"/>
    <w:rsid w:val="00246614"/>
    <w:rsid w:val="002468AE"/>
    <w:rsid w:val="00246907"/>
    <w:rsid w:val="00246A93"/>
    <w:rsid w:val="00246C0E"/>
    <w:rsid w:val="00246C85"/>
    <w:rsid w:val="00246EC9"/>
    <w:rsid w:val="00246FE9"/>
    <w:rsid w:val="00247130"/>
    <w:rsid w:val="0024723E"/>
    <w:rsid w:val="00247760"/>
    <w:rsid w:val="002477A7"/>
    <w:rsid w:val="00247D26"/>
    <w:rsid w:val="00247E6F"/>
    <w:rsid w:val="00247FD9"/>
    <w:rsid w:val="0025003A"/>
    <w:rsid w:val="00250260"/>
    <w:rsid w:val="002503CA"/>
    <w:rsid w:val="00250FD5"/>
    <w:rsid w:val="00251167"/>
    <w:rsid w:val="002511BA"/>
    <w:rsid w:val="00251768"/>
    <w:rsid w:val="00251A55"/>
    <w:rsid w:val="00252682"/>
    <w:rsid w:val="002526B9"/>
    <w:rsid w:val="00252D5F"/>
    <w:rsid w:val="00252DD3"/>
    <w:rsid w:val="0025338F"/>
    <w:rsid w:val="0025394F"/>
    <w:rsid w:val="002539AA"/>
    <w:rsid w:val="00253B15"/>
    <w:rsid w:val="00253B97"/>
    <w:rsid w:val="002544CB"/>
    <w:rsid w:val="00254724"/>
    <w:rsid w:val="00255BAA"/>
    <w:rsid w:val="00255D8E"/>
    <w:rsid w:val="0025607F"/>
    <w:rsid w:val="0025646F"/>
    <w:rsid w:val="00256584"/>
    <w:rsid w:val="00256C48"/>
    <w:rsid w:val="00256D20"/>
    <w:rsid w:val="00256ED6"/>
    <w:rsid w:val="00256EF8"/>
    <w:rsid w:val="002570D5"/>
    <w:rsid w:val="00257177"/>
    <w:rsid w:val="00257305"/>
    <w:rsid w:val="00257730"/>
    <w:rsid w:val="00257803"/>
    <w:rsid w:val="00257B6B"/>
    <w:rsid w:val="00257B74"/>
    <w:rsid w:val="00257CD8"/>
    <w:rsid w:val="002604FD"/>
    <w:rsid w:val="00260F56"/>
    <w:rsid w:val="002610D8"/>
    <w:rsid w:val="00261368"/>
    <w:rsid w:val="00261A6C"/>
    <w:rsid w:val="002629E2"/>
    <w:rsid w:val="00262BA8"/>
    <w:rsid w:val="00262BC8"/>
    <w:rsid w:val="002636D4"/>
    <w:rsid w:val="00263AC1"/>
    <w:rsid w:val="002641D9"/>
    <w:rsid w:val="002643C5"/>
    <w:rsid w:val="00264917"/>
    <w:rsid w:val="002649AC"/>
    <w:rsid w:val="00264D97"/>
    <w:rsid w:val="002651EC"/>
    <w:rsid w:val="00265DC2"/>
    <w:rsid w:val="002660A9"/>
    <w:rsid w:val="0026638C"/>
    <w:rsid w:val="00266F00"/>
    <w:rsid w:val="002670EF"/>
    <w:rsid w:val="002671A2"/>
    <w:rsid w:val="00267A38"/>
    <w:rsid w:val="00267EE2"/>
    <w:rsid w:val="00267F5F"/>
    <w:rsid w:val="002702F4"/>
    <w:rsid w:val="00270965"/>
    <w:rsid w:val="00270A01"/>
    <w:rsid w:val="00270EC6"/>
    <w:rsid w:val="00271756"/>
    <w:rsid w:val="00271E5D"/>
    <w:rsid w:val="00272006"/>
    <w:rsid w:val="00272082"/>
    <w:rsid w:val="002720FE"/>
    <w:rsid w:val="00272C8F"/>
    <w:rsid w:val="002731BB"/>
    <w:rsid w:val="0027349D"/>
    <w:rsid w:val="00273516"/>
    <w:rsid w:val="00273985"/>
    <w:rsid w:val="00273B82"/>
    <w:rsid w:val="00273E08"/>
    <w:rsid w:val="00273E7A"/>
    <w:rsid w:val="00274372"/>
    <w:rsid w:val="0027475A"/>
    <w:rsid w:val="00274E9A"/>
    <w:rsid w:val="00274F5F"/>
    <w:rsid w:val="0027559C"/>
    <w:rsid w:val="00275F56"/>
    <w:rsid w:val="002765B7"/>
    <w:rsid w:val="00276B51"/>
    <w:rsid w:val="00276EAA"/>
    <w:rsid w:val="0027735F"/>
    <w:rsid w:val="00277713"/>
    <w:rsid w:val="00277DBC"/>
    <w:rsid w:val="00277F64"/>
    <w:rsid w:val="00280550"/>
    <w:rsid w:val="00281063"/>
    <w:rsid w:val="00281676"/>
    <w:rsid w:val="002818CF"/>
    <w:rsid w:val="00281C41"/>
    <w:rsid w:val="00281E32"/>
    <w:rsid w:val="002823B9"/>
    <w:rsid w:val="00282479"/>
    <w:rsid w:val="0028276E"/>
    <w:rsid w:val="002827F3"/>
    <w:rsid w:val="002829BD"/>
    <w:rsid w:val="00282B3E"/>
    <w:rsid w:val="00282C1F"/>
    <w:rsid w:val="00282C6C"/>
    <w:rsid w:val="00283B7F"/>
    <w:rsid w:val="0028468D"/>
    <w:rsid w:val="0028470C"/>
    <w:rsid w:val="00284B5F"/>
    <w:rsid w:val="00284EAE"/>
    <w:rsid w:val="0028560C"/>
    <w:rsid w:val="00285879"/>
    <w:rsid w:val="0028596B"/>
    <w:rsid w:val="00285FB9"/>
    <w:rsid w:val="00286219"/>
    <w:rsid w:val="00286579"/>
    <w:rsid w:val="002868BC"/>
    <w:rsid w:val="00286A03"/>
    <w:rsid w:val="00287514"/>
    <w:rsid w:val="0028791B"/>
    <w:rsid w:val="00287C57"/>
    <w:rsid w:val="00287E44"/>
    <w:rsid w:val="00287F79"/>
    <w:rsid w:val="00290044"/>
    <w:rsid w:val="002900A9"/>
    <w:rsid w:val="002905E9"/>
    <w:rsid w:val="00290C43"/>
    <w:rsid w:val="00290C90"/>
    <w:rsid w:val="00291260"/>
    <w:rsid w:val="002916DB"/>
    <w:rsid w:val="0029190A"/>
    <w:rsid w:val="00292220"/>
    <w:rsid w:val="00293047"/>
    <w:rsid w:val="00293271"/>
    <w:rsid w:val="00293422"/>
    <w:rsid w:val="00293587"/>
    <w:rsid w:val="00293896"/>
    <w:rsid w:val="00293981"/>
    <w:rsid w:val="00293C63"/>
    <w:rsid w:val="00293D08"/>
    <w:rsid w:val="00293ED1"/>
    <w:rsid w:val="00294214"/>
    <w:rsid w:val="002949F6"/>
    <w:rsid w:val="00294A06"/>
    <w:rsid w:val="00294FFB"/>
    <w:rsid w:val="002950AC"/>
    <w:rsid w:val="002954FD"/>
    <w:rsid w:val="002958FA"/>
    <w:rsid w:val="00295DD0"/>
    <w:rsid w:val="00296242"/>
    <w:rsid w:val="0029627F"/>
    <w:rsid w:val="002963EC"/>
    <w:rsid w:val="00296CE6"/>
    <w:rsid w:val="002973DF"/>
    <w:rsid w:val="00297CF3"/>
    <w:rsid w:val="00297D6A"/>
    <w:rsid w:val="002A0190"/>
    <w:rsid w:val="002A0983"/>
    <w:rsid w:val="002A0BF5"/>
    <w:rsid w:val="002A1128"/>
    <w:rsid w:val="002A11BC"/>
    <w:rsid w:val="002A158C"/>
    <w:rsid w:val="002A1739"/>
    <w:rsid w:val="002A1C9E"/>
    <w:rsid w:val="002A24EB"/>
    <w:rsid w:val="002A2C5E"/>
    <w:rsid w:val="002A2D66"/>
    <w:rsid w:val="002A4206"/>
    <w:rsid w:val="002A428E"/>
    <w:rsid w:val="002A432F"/>
    <w:rsid w:val="002A451C"/>
    <w:rsid w:val="002A46EB"/>
    <w:rsid w:val="002A46FA"/>
    <w:rsid w:val="002A4916"/>
    <w:rsid w:val="002A5227"/>
    <w:rsid w:val="002A530C"/>
    <w:rsid w:val="002A53C5"/>
    <w:rsid w:val="002A56D8"/>
    <w:rsid w:val="002A57BC"/>
    <w:rsid w:val="002A581C"/>
    <w:rsid w:val="002A5A03"/>
    <w:rsid w:val="002A71B6"/>
    <w:rsid w:val="002A7CE6"/>
    <w:rsid w:val="002B00FE"/>
    <w:rsid w:val="002B05FA"/>
    <w:rsid w:val="002B0E27"/>
    <w:rsid w:val="002B10B6"/>
    <w:rsid w:val="002B10D3"/>
    <w:rsid w:val="002B1113"/>
    <w:rsid w:val="002B17DE"/>
    <w:rsid w:val="002B1867"/>
    <w:rsid w:val="002B1BD1"/>
    <w:rsid w:val="002B1EA3"/>
    <w:rsid w:val="002B2A55"/>
    <w:rsid w:val="002B2DA9"/>
    <w:rsid w:val="002B30C8"/>
    <w:rsid w:val="002B31FA"/>
    <w:rsid w:val="002B33D5"/>
    <w:rsid w:val="002B3434"/>
    <w:rsid w:val="002B3A06"/>
    <w:rsid w:val="002B4552"/>
    <w:rsid w:val="002B4C84"/>
    <w:rsid w:val="002B4DCE"/>
    <w:rsid w:val="002B55DA"/>
    <w:rsid w:val="002B569D"/>
    <w:rsid w:val="002B5746"/>
    <w:rsid w:val="002B5F21"/>
    <w:rsid w:val="002B63D3"/>
    <w:rsid w:val="002B6815"/>
    <w:rsid w:val="002B6AB1"/>
    <w:rsid w:val="002B71D1"/>
    <w:rsid w:val="002B78CF"/>
    <w:rsid w:val="002B7ECC"/>
    <w:rsid w:val="002C0144"/>
    <w:rsid w:val="002C0CAC"/>
    <w:rsid w:val="002C11C0"/>
    <w:rsid w:val="002C1475"/>
    <w:rsid w:val="002C19A3"/>
    <w:rsid w:val="002C1F28"/>
    <w:rsid w:val="002C23CF"/>
    <w:rsid w:val="002C254B"/>
    <w:rsid w:val="002C25DE"/>
    <w:rsid w:val="002C27E8"/>
    <w:rsid w:val="002C2ACB"/>
    <w:rsid w:val="002C2F60"/>
    <w:rsid w:val="002C30B3"/>
    <w:rsid w:val="002C373F"/>
    <w:rsid w:val="002C41CB"/>
    <w:rsid w:val="002C47E2"/>
    <w:rsid w:val="002C5C58"/>
    <w:rsid w:val="002C61B5"/>
    <w:rsid w:val="002C6A1A"/>
    <w:rsid w:val="002C6B67"/>
    <w:rsid w:val="002C73EE"/>
    <w:rsid w:val="002C7660"/>
    <w:rsid w:val="002C7718"/>
    <w:rsid w:val="002C77DB"/>
    <w:rsid w:val="002C77F7"/>
    <w:rsid w:val="002C7CD4"/>
    <w:rsid w:val="002D0321"/>
    <w:rsid w:val="002D06A5"/>
    <w:rsid w:val="002D0E7A"/>
    <w:rsid w:val="002D155B"/>
    <w:rsid w:val="002D1AD3"/>
    <w:rsid w:val="002D3BBF"/>
    <w:rsid w:val="002D3DE6"/>
    <w:rsid w:val="002D40A5"/>
    <w:rsid w:val="002D47E5"/>
    <w:rsid w:val="002D48E1"/>
    <w:rsid w:val="002D4DF7"/>
    <w:rsid w:val="002D5847"/>
    <w:rsid w:val="002D5986"/>
    <w:rsid w:val="002D5F15"/>
    <w:rsid w:val="002D61C8"/>
    <w:rsid w:val="002D629E"/>
    <w:rsid w:val="002D6E9A"/>
    <w:rsid w:val="002D6F57"/>
    <w:rsid w:val="002D726B"/>
    <w:rsid w:val="002D756B"/>
    <w:rsid w:val="002D75DB"/>
    <w:rsid w:val="002D7DDB"/>
    <w:rsid w:val="002D7F19"/>
    <w:rsid w:val="002E0067"/>
    <w:rsid w:val="002E02D0"/>
    <w:rsid w:val="002E0489"/>
    <w:rsid w:val="002E04B3"/>
    <w:rsid w:val="002E04C0"/>
    <w:rsid w:val="002E0544"/>
    <w:rsid w:val="002E150B"/>
    <w:rsid w:val="002E1DF4"/>
    <w:rsid w:val="002E2C3B"/>
    <w:rsid w:val="002E323B"/>
    <w:rsid w:val="002E3C37"/>
    <w:rsid w:val="002E3CD0"/>
    <w:rsid w:val="002E4BA7"/>
    <w:rsid w:val="002E4D3D"/>
    <w:rsid w:val="002E4DD1"/>
    <w:rsid w:val="002E5015"/>
    <w:rsid w:val="002E5368"/>
    <w:rsid w:val="002E5CA7"/>
    <w:rsid w:val="002E6077"/>
    <w:rsid w:val="002E6377"/>
    <w:rsid w:val="002E64C3"/>
    <w:rsid w:val="002E666E"/>
    <w:rsid w:val="002E668B"/>
    <w:rsid w:val="002E7113"/>
    <w:rsid w:val="002E7235"/>
    <w:rsid w:val="002E7822"/>
    <w:rsid w:val="002E7C80"/>
    <w:rsid w:val="002E7DEA"/>
    <w:rsid w:val="002F01B0"/>
    <w:rsid w:val="002F024B"/>
    <w:rsid w:val="002F0276"/>
    <w:rsid w:val="002F039E"/>
    <w:rsid w:val="002F0503"/>
    <w:rsid w:val="002F10E7"/>
    <w:rsid w:val="002F11F9"/>
    <w:rsid w:val="002F1274"/>
    <w:rsid w:val="002F13E0"/>
    <w:rsid w:val="002F16CB"/>
    <w:rsid w:val="002F1742"/>
    <w:rsid w:val="002F1752"/>
    <w:rsid w:val="002F197C"/>
    <w:rsid w:val="002F1AB0"/>
    <w:rsid w:val="002F238B"/>
    <w:rsid w:val="002F2626"/>
    <w:rsid w:val="002F2799"/>
    <w:rsid w:val="002F3038"/>
    <w:rsid w:val="002F3C64"/>
    <w:rsid w:val="002F439B"/>
    <w:rsid w:val="002F4431"/>
    <w:rsid w:val="002F4687"/>
    <w:rsid w:val="002F47E7"/>
    <w:rsid w:val="002F510D"/>
    <w:rsid w:val="002F5F61"/>
    <w:rsid w:val="002F63E6"/>
    <w:rsid w:val="002F7729"/>
    <w:rsid w:val="002F794D"/>
    <w:rsid w:val="00300081"/>
    <w:rsid w:val="0030023E"/>
    <w:rsid w:val="0030059B"/>
    <w:rsid w:val="00300812"/>
    <w:rsid w:val="0030094D"/>
    <w:rsid w:val="00300D44"/>
    <w:rsid w:val="00300FC5"/>
    <w:rsid w:val="00301277"/>
    <w:rsid w:val="00301837"/>
    <w:rsid w:val="003019CD"/>
    <w:rsid w:val="00302DA3"/>
    <w:rsid w:val="00303352"/>
    <w:rsid w:val="0030341B"/>
    <w:rsid w:val="003034D2"/>
    <w:rsid w:val="0030373E"/>
    <w:rsid w:val="00303A1B"/>
    <w:rsid w:val="003045BE"/>
    <w:rsid w:val="00304D24"/>
    <w:rsid w:val="00304E8C"/>
    <w:rsid w:val="00305204"/>
    <w:rsid w:val="0030541B"/>
    <w:rsid w:val="003054E0"/>
    <w:rsid w:val="00305F09"/>
    <w:rsid w:val="00305F53"/>
    <w:rsid w:val="003060F3"/>
    <w:rsid w:val="0030612A"/>
    <w:rsid w:val="0030671C"/>
    <w:rsid w:val="003068EC"/>
    <w:rsid w:val="00306C01"/>
    <w:rsid w:val="0030721A"/>
    <w:rsid w:val="0030759B"/>
    <w:rsid w:val="003076C4"/>
    <w:rsid w:val="003079A6"/>
    <w:rsid w:val="00307AE4"/>
    <w:rsid w:val="003106C8"/>
    <w:rsid w:val="00310E3F"/>
    <w:rsid w:val="00311270"/>
    <w:rsid w:val="00311467"/>
    <w:rsid w:val="0031175D"/>
    <w:rsid w:val="00311800"/>
    <w:rsid w:val="003119DD"/>
    <w:rsid w:val="00311F64"/>
    <w:rsid w:val="00312292"/>
    <w:rsid w:val="00312297"/>
    <w:rsid w:val="003124C8"/>
    <w:rsid w:val="00313367"/>
    <w:rsid w:val="0031354F"/>
    <w:rsid w:val="00313B8F"/>
    <w:rsid w:val="003141E2"/>
    <w:rsid w:val="00314614"/>
    <w:rsid w:val="00314739"/>
    <w:rsid w:val="00314773"/>
    <w:rsid w:val="003149C2"/>
    <w:rsid w:val="00314B96"/>
    <w:rsid w:val="00314F8A"/>
    <w:rsid w:val="003151F3"/>
    <w:rsid w:val="003152D2"/>
    <w:rsid w:val="003152FA"/>
    <w:rsid w:val="003154DB"/>
    <w:rsid w:val="003156BC"/>
    <w:rsid w:val="003158FA"/>
    <w:rsid w:val="00316198"/>
    <w:rsid w:val="00316779"/>
    <w:rsid w:val="00316A45"/>
    <w:rsid w:val="00316C18"/>
    <w:rsid w:val="00316C5F"/>
    <w:rsid w:val="00316C7C"/>
    <w:rsid w:val="00317AB7"/>
    <w:rsid w:val="00317DA5"/>
    <w:rsid w:val="003201D0"/>
    <w:rsid w:val="00320283"/>
    <w:rsid w:val="003205E0"/>
    <w:rsid w:val="00321386"/>
    <w:rsid w:val="00321788"/>
    <w:rsid w:val="00321848"/>
    <w:rsid w:val="00321AF7"/>
    <w:rsid w:val="00321CB3"/>
    <w:rsid w:val="003221BE"/>
    <w:rsid w:val="00322341"/>
    <w:rsid w:val="0032345B"/>
    <w:rsid w:val="003235FE"/>
    <w:rsid w:val="00324FF5"/>
    <w:rsid w:val="003256A0"/>
    <w:rsid w:val="00325BAB"/>
    <w:rsid w:val="003265DE"/>
    <w:rsid w:val="00326A08"/>
    <w:rsid w:val="003273D2"/>
    <w:rsid w:val="003275D6"/>
    <w:rsid w:val="0032761B"/>
    <w:rsid w:val="0032767E"/>
    <w:rsid w:val="003277C6"/>
    <w:rsid w:val="00327845"/>
    <w:rsid w:val="0032788D"/>
    <w:rsid w:val="00327B0E"/>
    <w:rsid w:val="003302CF"/>
    <w:rsid w:val="00330559"/>
    <w:rsid w:val="00330846"/>
    <w:rsid w:val="00330B86"/>
    <w:rsid w:val="00330DB5"/>
    <w:rsid w:val="00331306"/>
    <w:rsid w:val="00331659"/>
    <w:rsid w:val="003319C5"/>
    <w:rsid w:val="00331A58"/>
    <w:rsid w:val="003320F9"/>
    <w:rsid w:val="003327BD"/>
    <w:rsid w:val="00332CD4"/>
    <w:rsid w:val="003338EB"/>
    <w:rsid w:val="00333D21"/>
    <w:rsid w:val="00334446"/>
    <w:rsid w:val="0033444C"/>
    <w:rsid w:val="00334725"/>
    <w:rsid w:val="00334739"/>
    <w:rsid w:val="00334A38"/>
    <w:rsid w:val="00334AF1"/>
    <w:rsid w:val="00334F72"/>
    <w:rsid w:val="003353D5"/>
    <w:rsid w:val="003354CA"/>
    <w:rsid w:val="00335A53"/>
    <w:rsid w:val="003364AE"/>
    <w:rsid w:val="0033705C"/>
    <w:rsid w:val="00337311"/>
    <w:rsid w:val="003379A4"/>
    <w:rsid w:val="00337BB0"/>
    <w:rsid w:val="00337CB6"/>
    <w:rsid w:val="003403AE"/>
    <w:rsid w:val="003405B9"/>
    <w:rsid w:val="00340913"/>
    <w:rsid w:val="003409BD"/>
    <w:rsid w:val="00340F65"/>
    <w:rsid w:val="00341008"/>
    <w:rsid w:val="0034111B"/>
    <w:rsid w:val="00341612"/>
    <w:rsid w:val="00342559"/>
    <w:rsid w:val="003429DD"/>
    <w:rsid w:val="00342D1A"/>
    <w:rsid w:val="0034339B"/>
    <w:rsid w:val="00343860"/>
    <w:rsid w:val="00343AB5"/>
    <w:rsid w:val="00343CCF"/>
    <w:rsid w:val="0034438F"/>
    <w:rsid w:val="00344BD5"/>
    <w:rsid w:val="00344CEF"/>
    <w:rsid w:val="00344F44"/>
    <w:rsid w:val="0034511C"/>
    <w:rsid w:val="00345191"/>
    <w:rsid w:val="0034550A"/>
    <w:rsid w:val="00345B7B"/>
    <w:rsid w:val="00345C93"/>
    <w:rsid w:val="0034620C"/>
    <w:rsid w:val="00346579"/>
    <w:rsid w:val="00346C50"/>
    <w:rsid w:val="003474B3"/>
    <w:rsid w:val="003475BA"/>
    <w:rsid w:val="00347A1B"/>
    <w:rsid w:val="00347CA3"/>
    <w:rsid w:val="00347CF4"/>
    <w:rsid w:val="00347F9F"/>
    <w:rsid w:val="00350504"/>
    <w:rsid w:val="00350828"/>
    <w:rsid w:val="00351032"/>
    <w:rsid w:val="0035149A"/>
    <w:rsid w:val="00351668"/>
    <w:rsid w:val="00352775"/>
    <w:rsid w:val="00352F14"/>
    <w:rsid w:val="003530B3"/>
    <w:rsid w:val="003532DF"/>
    <w:rsid w:val="00353F13"/>
    <w:rsid w:val="003549E9"/>
    <w:rsid w:val="0035546F"/>
    <w:rsid w:val="003554BD"/>
    <w:rsid w:val="003554CE"/>
    <w:rsid w:val="00355A25"/>
    <w:rsid w:val="00356586"/>
    <w:rsid w:val="00356792"/>
    <w:rsid w:val="00356C59"/>
    <w:rsid w:val="00356DA5"/>
    <w:rsid w:val="003571E2"/>
    <w:rsid w:val="00360107"/>
    <w:rsid w:val="00360545"/>
    <w:rsid w:val="00360A82"/>
    <w:rsid w:val="00361062"/>
    <w:rsid w:val="003610F5"/>
    <w:rsid w:val="003615A9"/>
    <w:rsid w:val="003616F4"/>
    <w:rsid w:val="00361DE0"/>
    <w:rsid w:val="003628E9"/>
    <w:rsid w:val="00362B5E"/>
    <w:rsid w:val="003638E9"/>
    <w:rsid w:val="003641CC"/>
    <w:rsid w:val="003643A5"/>
    <w:rsid w:val="0036443D"/>
    <w:rsid w:val="003644CA"/>
    <w:rsid w:val="00364D97"/>
    <w:rsid w:val="003652A3"/>
    <w:rsid w:val="0036533F"/>
    <w:rsid w:val="00365370"/>
    <w:rsid w:val="003661C9"/>
    <w:rsid w:val="0036693A"/>
    <w:rsid w:val="00366AFA"/>
    <w:rsid w:val="00366C31"/>
    <w:rsid w:val="00366E4E"/>
    <w:rsid w:val="003676E5"/>
    <w:rsid w:val="003676EA"/>
    <w:rsid w:val="00367886"/>
    <w:rsid w:val="00367AD9"/>
    <w:rsid w:val="00367CC7"/>
    <w:rsid w:val="00370219"/>
    <w:rsid w:val="0037051E"/>
    <w:rsid w:val="00370859"/>
    <w:rsid w:val="00370DE5"/>
    <w:rsid w:val="00371208"/>
    <w:rsid w:val="003718D9"/>
    <w:rsid w:val="0037207D"/>
    <w:rsid w:val="00372389"/>
    <w:rsid w:val="00372564"/>
    <w:rsid w:val="00372644"/>
    <w:rsid w:val="00372DF7"/>
    <w:rsid w:val="0037334A"/>
    <w:rsid w:val="003734B3"/>
    <w:rsid w:val="00373D8A"/>
    <w:rsid w:val="0037443B"/>
    <w:rsid w:val="003747D7"/>
    <w:rsid w:val="00374A3A"/>
    <w:rsid w:val="00374D3E"/>
    <w:rsid w:val="0037525E"/>
    <w:rsid w:val="00375453"/>
    <w:rsid w:val="00375820"/>
    <w:rsid w:val="00375B14"/>
    <w:rsid w:val="00375D85"/>
    <w:rsid w:val="00375E50"/>
    <w:rsid w:val="003760FD"/>
    <w:rsid w:val="003769D5"/>
    <w:rsid w:val="00376A9C"/>
    <w:rsid w:val="00377475"/>
    <w:rsid w:val="00377A8C"/>
    <w:rsid w:val="00380027"/>
    <w:rsid w:val="0038053C"/>
    <w:rsid w:val="0038054C"/>
    <w:rsid w:val="0038061C"/>
    <w:rsid w:val="00381137"/>
    <w:rsid w:val="00381168"/>
    <w:rsid w:val="00381BE5"/>
    <w:rsid w:val="00381E3D"/>
    <w:rsid w:val="003820DA"/>
    <w:rsid w:val="003825F4"/>
    <w:rsid w:val="00383110"/>
    <w:rsid w:val="00383181"/>
    <w:rsid w:val="003831C2"/>
    <w:rsid w:val="0038324D"/>
    <w:rsid w:val="00383338"/>
    <w:rsid w:val="0038339B"/>
    <w:rsid w:val="0038369B"/>
    <w:rsid w:val="00383701"/>
    <w:rsid w:val="003837F6"/>
    <w:rsid w:val="00383BC1"/>
    <w:rsid w:val="003840B4"/>
    <w:rsid w:val="00384187"/>
    <w:rsid w:val="0038458A"/>
    <w:rsid w:val="00384701"/>
    <w:rsid w:val="00384744"/>
    <w:rsid w:val="00384900"/>
    <w:rsid w:val="00384993"/>
    <w:rsid w:val="00384D8F"/>
    <w:rsid w:val="00384DCE"/>
    <w:rsid w:val="00384EF8"/>
    <w:rsid w:val="00385547"/>
    <w:rsid w:val="003865E7"/>
    <w:rsid w:val="00386891"/>
    <w:rsid w:val="00386A21"/>
    <w:rsid w:val="0038735C"/>
    <w:rsid w:val="003874B4"/>
    <w:rsid w:val="00387631"/>
    <w:rsid w:val="00387823"/>
    <w:rsid w:val="00387954"/>
    <w:rsid w:val="00387CBB"/>
    <w:rsid w:val="00390044"/>
    <w:rsid w:val="003903FB"/>
    <w:rsid w:val="00390644"/>
    <w:rsid w:val="0039066F"/>
    <w:rsid w:val="00390D50"/>
    <w:rsid w:val="00390EAD"/>
    <w:rsid w:val="00390EAF"/>
    <w:rsid w:val="00391126"/>
    <w:rsid w:val="00391B86"/>
    <w:rsid w:val="00391CBB"/>
    <w:rsid w:val="00391D90"/>
    <w:rsid w:val="00391DDE"/>
    <w:rsid w:val="0039208E"/>
    <w:rsid w:val="003923A6"/>
    <w:rsid w:val="0039257A"/>
    <w:rsid w:val="0039290C"/>
    <w:rsid w:val="00392BF3"/>
    <w:rsid w:val="00392F46"/>
    <w:rsid w:val="00393231"/>
    <w:rsid w:val="0039372B"/>
    <w:rsid w:val="0039383D"/>
    <w:rsid w:val="0039433B"/>
    <w:rsid w:val="003946B9"/>
    <w:rsid w:val="00394888"/>
    <w:rsid w:val="00394917"/>
    <w:rsid w:val="00394FE8"/>
    <w:rsid w:val="00395069"/>
    <w:rsid w:val="003955AD"/>
    <w:rsid w:val="00395A0A"/>
    <w:rsid w:val="00396911"/>
    <w:rsid w:val="00396943"/>
    <w:rsid w:val="00396C46"/>
    <w:rsid w:val="00397BC5"/>
    <w:rsid w:val="00397BF1"/>
    <w:rsid w:val="00397F03"/>
    <w:rsid w:val="003A0756"/>
    <w:rsid w:val="003A0A67"/>
    <w:rsid w:val="003A0D9C"/>
    <w:rsid w:val="003A0E1D"/>
    <w:rsid w:val="003A1273"/>
    <w:rsid w:val="003A14F4"/>
    <w:rsid w:val="003A1596"/>
    <w:rsid w:val="003A1C56"/>
    <w:rsid w:val="003A1FEA"/>
    <w:rsid w:val="003A24A7"/>
    <w:rsid w:val="003A2DAC"/>
    <w:rsid w:val="003A2E86"/>
    <w:rsid w:val="003A344A"/>
    <w:rsid w:val="003A3622"/>
    <w:rsid w:val="003A36D4"/>
    <w:rsid w:val="003A3C3F"/>
    <w:rsid w:val="003A4139"/>
    <w:rsid w:val="003A431F"/>
    <w:rsid w:val="003A4409"/>
    <w:rsid w:val="003A495B"/>
    <w:rsid w:val="003A4B2F"/>
    <w:rsid w:val="003A4C4A"/>
    <w:rsid w:val="003A4F9E"/>
    <w:rsid w:val="003A5033"/>
    <w:rsid w:val="003A53AA"/>
    <w:rsid w:val="003A54CF"/>
    <w:rsid w:val="003A5A21"/>
    <w:rsid w:val="003A5AFD"/>
    <w:rsid w:val="003A5E50"/>
    <w:rsid w:val="003A5EEB"/>
    <w:rsid w:val="003A5F81"/>
    <w:rsid w:val="003A6ACA"/>
    <w:rsid w:val="003A6FFB"/>
    <w:rsid w:val="003A701E"/>
    <w:rsid w:val="003A7161"/>
    <w:rsid w:val="003A7200"/>
    <w:rsid w:val="003A73BF"/>
    <w:rsid w:val="003A75C6"/>
    <w:rsid w:val="003A79FF"/>
    <w:rsid w:val="003A7B9B"/>
    <w:rsid w:val="003A7DFF"/>
    <w:rsid w:val="003A7E72"/>
    <w:rsid w:val="003B00E9"/>
    <w:rsid w:val="003B02DF"/>
    <w:rsid w:val="003B0A67"/>
    <w:rsid w:val="003B0A8B"/>
    <w:rsid w:val="003B1083"/>
    <w:rsid w:val="003B1177"/>
    <w:rsid w:val="003B12DB"/>
    <w:rsid w:val="003B1346"/>
    <w:rsid w:val="003B1AE3"/>
    <w:rsid w:val="003B1C5D"/>
    <w:rsid w:val="003B1DA1"/>
    <w:rsid w:val="003B1EAD"/>
    <w:rsid w:val="003B1F1C"/>
    <w:rsid w:val="003B23A8"/>
    <w:rsid w:val="003B24DD"/>
    <w:rsid w:val="003B2BCD"/>
    <w:rsid w:val="003B32BE"/>
    <w:rsid w:val="003B33D2"/>
    <w:rsid w:val="003B3822"/>
    <w:rsid w:val="003B3BAD"/>
    <w:rsid w:val="003B3F02"/>
    <w:rsid w:val="003B3F64"/>
    <w:rsid w:val="003B4312"/>
    <w:rsid w:val="003B4644"/>
    <w:rsid w:val="003B49D4"/>
    <w:rsid w:val="003B4B26"/>
    <w:rsid w:val="003B4E29"/>
    <w:rsid w:val="003B5306"/>
    <w:rsid w:val="003B5757"/>
    <w:rsid w:val="003B59A4"/>
    <w:rsid w:val="003B5E92"/>
    <w:rsid w:val="003B5F7C"/>
    <w:rsid w:val="003B6179"/>
    <w:rsid w:val="003B65AC"/>
    <w:rsid w:val="003B69D0"/>
    <w:rsid w:val="003B7B4D"/>
    <w:rsid w:val="003C0125"/>
    <w:rsid w:val="003C03F7"/>
    <w:rsid w:val="003C05CD"/>
    <w:rsid w:val="003C0A4A"/>
    <w:rsid w:val="003C0FE5"/>
    <w:rsid w:val="003C1040"/>
    <w:rsid w:val="003C14B6"/>
    <w:rsid w:val="003C1CAF"/>
    <w:rsid w:val="003C22D4"/>
    <w:rsid w:val="003C26F0"/>
    <w:rsid w:val="003C29AF"/>
    <w:rsid w:val="003C2A12"/>
    <w:rsid w:val="003C2E73"/>
    <w:rsid w:val="003C36B1"/>
    <w:rsid w:val="003C380B"/>
    <w:rsid w:val="003C3984"/>
    <w:rsid w:val="003C3BC5"/>
    <w:rsid w:val="003C3F73"/>
    <w:rsid w:val="003C40A2"/>
    <w:rsid w:val="003C42B1"/>
    <w:rsid w:val="003C5428"/>
    <w:rsid w:val="003C5519"/>
    <w:rsid w:val="003C5A97"/>
    <w:rsid w:val="003C616B"/>
    <w:rsid w:val="003C681D"/>
    <w:rsid w:val="003C6BED"/>
    <w:rsid w:val="003C76F4"/>
    <w:rsid w:val="003C7965"/>
    <w:rsid w:val="003C7B7E"/>
    <w:rsid w:val="003C7D06"/>
    <w:rsid w:val="003C7EF7"/>
    <w:rsid w:val="003D0E1F"/>
    <w:rsid w:val="003D113B"/>
    <w:rsid w:val="003D1182"/>
    <w:rsid w:val="003D1AE0"/>
    <w:rsid w:val="003D22DA"/>
    <w:rsid w:val="003D2A32"/>
    <w:rsid w:val="003D358C"/>
    <w:rsid w:val="003D3779"/>
    <w:rsid w:val="003D3B8B"/>
    <w:rsid w:val="003D416B"/>
    <w:rsid w:val="003D4254"/>
    <w:rsid w:val="003D425A"/>
    <w:rsid w:val="003D4866"/>
    <w:rsid w:val="003D507A"/>
    <w:rsid w:val="003D5286"/>
    <w:rsid w:val="003D554B"/>
    <w:rsid w:val="003D5F76"/>
    <w:rsid w:val="003D6280"/>
    <w:rsid w:val="003D65CC"/>
    <w:rsid w:val="003D66CB"/>
    <w:rsid w:val="003D687A"/>
    <w:rsid w:val="003D6E45"/>
    <w:rsid w:val="003D7125"/>
    <w:rsid w:val="003D7A2D"/>
    <w:rsid w:val="003D7C91"/>
    <w:rsid w:val="003E0227"/>
    <w:rsid w:val="003E043F"/>
    <w:rsid w:val="003E07F1"/>
    <w:rsid w:val="003E08BE"/>
    <w:rsid w:val="003E0E8C"/>
    <w:rsid w:val="003E113F"/>
    <w:rsid w:val="003E1418"/>
    <w:rsid w:val="003E1867"/>
    <w:rsid w:val="003E1ABA"/>
    <w:rsid w:val="003E20CB"/>
    <w:rsid w:val="003E2169"/>
    <w:rsid w:val="003E23B1"/>
    <w:rsid w:val="003E26DE"/>
    <w:rsid w:val="003E2E74"/>
    <w:rsid w:val="003E3238"/>
    <w:rsid w:val="003E3287"/>
    <w:rsid w:val="003E4979"/>
    <w:rsid w:val="003E4A3C"/>
    <w:rsid w:val="003E4B79"/>
    <w:rsid w:val="003E4B85"/>
    <w:rsid w:val="003E4CD0"/>
    <w:rsid w:val="003E5764"/>
    <w:rsid w:val="003E581F"/>
    <w:rsid w:val="003E59A3"/>
    <w:rsid w:val="003E5F16"/>
    <w:rsid w:val="003E634D"/>
    <w:rsid w:val="003E644F"/>
    <w:rsid w:val="003E64BB"/>
    <w:rsid w:val="003E6AC1"/>
    <w:rsid w:val="003E6B73"/>
    <w:rsid w:val="003E7768"/>
    <w:rsid w:val="003E77FB"/>
    <w:rsid w:val="003E7EEA"/>
    <w:rsid w:val="003F00D8"/>
    <w:rsid w:val="003F01E7"/>
    <w:rsid w:val="003F0AEA"/>
    <w:rsid w:val="003F18CF"/>
    <w:rsid w:val="003F1B53"/>
    <w:rsid w:val="003F1C59"/>
    <w:rsid w:val="003F1F1C"/>
    <w:rsid w:val="003F27DE"/>
    <w:rsid w:val="003F2B68"/>
    <w:rsid w:val="003F2BFE"/>
    <w:rsid w:val="003F3971"/>
    <w:rsid w:val="003F3A44"/>
    <w:rsid w:val="003F3B3F"/>
    <w:rsid w:val="003F5133"/>
    <w:rsid w:val="003F5732"/>
    <w:rsid w:val="003F5A5B"/>
    <w:rsid w:val="003F5F0A"/>
    <w:rsid w:val="003F603A"/>
    <w:rsid w:val="003F6DF4"/>
    <w:rsid w:val="003F7022"/>
    <w:rsid w:val="003F7263"/>
    <w:rsid w:val="003F7D77"/>
    <w:rsid w:val="00400626"/>
    <w:rsid w:val="00400A5E"/>
    <w:rsid w:val="00400D16"/>
    <w:rsid w:val="00400F1D"/>
    <w:rsid w:val="00401089"/>
    <w:rsid w:val="004015B0"/>
    <w:rsid w:val="004016AD"/>
    <w:rsid w:val="00401A15"/>
    <w:rsid w:val="00401C5B"/>
    <w:rsid w:val="00401DB1"/>
    <w:rsid w:val="004020FB"/>
    <w:rsid w:val="0040230D"/>
    <w:rsid w:val="004024C2"/>
    <w:rsid w:val="004028D0"/>
    <w:rsid w:val="00402940"/>
    <w:rsid w:val="00403226"/>
    <w:rsid w:val="0040342B"/>
    <w:rsid w:val="00403827"/>
    <w:rsid w:val="00403D76"/>
    <w:rsid w:val="00403FCC"/>
    <w:rsid w:val="004040E3"/>
    <w:rsid w:val="00404D4D"/>
    <w:rsid w:val="004050CA"/>
    <w:rsid w:val="004068A2"/>
    <w:rsid w:val="00407731"/>
    <w:rsid w:val="00407CDA"/>
    <w:rsid w:val="00407F71"/>
    <w:rsid w:val="004100FD"/>
    <w:rsid w:val="0041029D"/>
    <w:rsid w:val="00410347"/>
    <w:rsid w:val="004104BF"/>
    <w:rsid w:val="0041068A"/>
    <w:rsid w:val="00410DEC"/>
    <w:rsid w:val="0041138F"/>
    <w:rsid w:val="004118D5"/>
    <w:rsid w:val="0041209E"/>
    <w:rsid w:val="0041299B"/>
    <w:rsid w:val="00412EF3"/>
    <w:rsid w:val="00413162"/>
    <w:rsid w:val="004133CD"/>
    <w:rsid w:val="00413536"/>
    <w:rsid w:val="00413549"/>
    <w:rsid w:val="004137F0"/>
    <w:rsid w:val="00413FCD"/>
    <w:rsid w:val="0041439E"/>
    <w:rsid w:val="00414538"/>
    <w:rsid w:val="00414647"/>
    <w:rsid w:val="0041479C"/>
    <w:rsid w:val="00414F9A"/>
    <w:rsid w:val="00415ECC"/>
    <w:rsid w:val="00415EF5"/>
    <w:rsid w:val="00416787"/>
    <w:rsid w:val="00416C69"/>
    <w:rsid w:val="004170FC"/>
    <w:rsid w:val="00417223"/>
    <w:rsid w:val="00417F13"/>
    <w:rsid w:val="004201FB"/>
    <w:rsid w:val="004203CA"/>
    <w:rsid w:val="004208D7"/>
    <w:rsid w:val="00420CA2"/>
    <w:rsid w:val="00420EB5"/>
    <w:rsid w:val="00421220"/>
    <w:rsid w:val="00421878"/>
    <w:rsid w:val="004219C1"/>
    <w:rsid w:val="00421C40"/>
    <w:rsid w:val="0042202B"/>
    <w:rsid w:val="004228EE"/>
    <w:rsid w:val="00422BB1"/>
    <w:rsid w:val="00422D87"/>
    <w:rsid w:val="0042325A"/>
    <w:rsid w:val="0042336F"/>
    <w:rsid w:val="004234EF"/>
    <w:rsid w:val="00423CA0"/>
    <w:rsid w:val="004242F2"/>
    <w:rsid w:val="004249DB"/>
    <w:rsid w:val="00424C6D"/>
    <w:rsid w:val="00424C76"/>
    <w:rsid w:val="00424DF8"/>
    <w:rsid w:val="00425554"/>
    <w:rsid w:val="0042556A"/>
    <w:rsid w:val="00425B68"/>
    <w:rsid w:val="00425C9F"/>
    <w:rsid w:val="00426852"/>
    <w:rsid w:val="004268A5"/>
    <w:rsid w:val="004268DA"/>
    <w:rsid w:val="0042695F"/>
    <w:rsid w:val="00426F4F"/>
    <w:rsid w:val="00427603"/>
    <w:rsid w:val="0042776F"/>
    <w:rsid w:val="00427D02"/>
    <w:rsid w:val="00427E74"/>
    <w:rsid w:val="004300E1"/>
    <w:rsid w:val="00430294"/>
    <w:rsid w:val="004303B9"/>
    <w:rsid w:val="004308A4"/>
    <w:rsid w:val="004309CF"/>
    <w:rsid w:val="00430A16"/>
    <w:rsid w:val="00430B44"/>
    <w:rsid w:val="00430F27"/>
    <w:rsid w:val="0043104B"/>
    <w:rsid w:val="0043181D"/>
    <w:rsid w:val="00431AE7"/>
    <w:rsid w:val="00431DC7"/>
    <w:rsid w:val="004325BF"/>
    <w:rsid w:val="004328E4"/>
    <w:rsid w:val="00432937"/>
    <w:rsid w:val="00433239"/>
    <w:rsid w:val="00433460"/>
    <w:rsid w:val="00433550"/>
    <w:rsid w:val="00433D87"/>
    <w:rsid w:val="00433E32"/>
    <w:rsid w:val="00433ECE"/>
    <w:rsid w:val="00434370"/>
    <w:rsid w:val="004347A7"/>
    <w:rsid w:val="00434800"/>
    <w:rsid w:val="0043481E"/>
    <w:rsid w:val="00434B3D"/>
    <w:rsid w:val="00434F9C"/>
    <w:rsid w:val="0043544E"/>
    <w:rsid w:val="004355FA"/>
    <w:rsid w:val="00435F09"/>
    <w:rsid w:val="00435F6F"/>
    <w:rsid w:val="00436225"/>
    <w:rsid w:val="00436548"/>
    <w:rsid w:val="00436C20"/>
    <w:rsid w:val="00436CB5"/>
    <w:rsid w:val="004373A1"/>
    <w:rsid w:val="00440392"/>
    <w:rsid w:val="00440396"/>
    <w:rsid w:val="00440502"/>
    <w:rsid w:val="0044058F"/>
    <w:rsid w:val="004412E5"/>
    <w:rsid w:val="004415FC"/>
    <w:rsid w:val="00441989"/>
    <w:rsid w:val="00441BF6"/>
    <w:rsid w:val="00442112"/>
    <w:rsid w:val="00442822"/>
    <w:rsid w:val="00442B37"/>
    <w:rsid w:val="00442FA9"/>
    <w:rsid w:val="004437F3"/>
    <w:rsid w:val="00443866"/>
    <w:rsid w:val="00443A3A"/>
    <w:rsid w:val="00443AE0"/>
    <w:rsid w:val="00443D1A"/>
    <w:rsid w:val="004442B1"/>
    <w:rsid w:val="004443FB"/>
    <w:rsid w:val="0044476D"/>
    <w:rsid w:val="00445064"/>
    <w:rsid w:val="00445172"/>
    <w:rsid w:val="00445339"/>
    <w:rsid w:val="00445472"/>
    <w:rsid w:val="004464C3"/>
    <w:rsid w:val="00447603"/>
    <w:rsid w:val="00447999"/>
    <w:rsid w:val="00447AC5"/>
    <w:rsid w:val="00447BDB"/>
    <w:rsid w:val="00447EAD"/>
    <w:rsid w:val="004504A7"/>
    <w:rsid w:val="004504E7"/>
    <w:rsid w:val="00450899"/>
    <w:rsid w:val="004508B7"/>
    <w:rsid w:val="00450FE9"/>
    <w:rsid w:val="00451A7B"/>
    <w:rsid w:val="004522A6"/>
    <w:rsid w:val="0045283E"/>
    <w:rsid w:val="00452870"/>
    <w:rsid w:val="0045291E"/>
    <w:rsid w:val="004529D7"/>
    <w:rsid w:val="00452A11"/>
    <w:rsid w:val="00453BF4"/>
    <w:rsid w:val="00453D89"/>
    <w:rsid w:val="00453E34"/>
    <w:rsid w:val="004541EE"/>
    <w:rsid w:val="00454571"/>
    <w:rsid w:val="004545C5"/>
    <w:rsid w:val="00455471"/>
    <w:rsid w:val="004557FD"/>
    <w:rsid w:val="0045592A"/>
    <w:rsid w:val="00455AFA"/>
    <w:rsid w:val="00456308"/>
    <w:rsid w:val="004566BE"/>
    <w:rsid w:val="0045682E"/>
    <w:rsid w:val="004568B4"/>
    <w:rsid w:val="004568C3"/>
    <w:rsid w:val="00457142"/>
    <w:rsid w:val="004573A4"/>
    <w:rsid w:val="00457493"/>
    <w:rsid w:val="00457958"/>
    <w:rsid w:val="004605F4"/>
    <w:rsid w:val="0046086B"/>
    <w:rsid w:val="0046115F"/>
    <w:rsid w:val="0046148D"/>
    <w:rsid w:val="00461535"/>
    <w:rsid w:val="0046203B"/>
    <w:rsid w:val="00462496"/>
    <w:rsid w:val="004625A3"/>
    <w:rsid w:val="004627CF"/>
    <w:rsid w:val="004628E6"/>
    <w:rsid w:val="004628EF"/>
    <w:rsid w:val="00462977"/>
    <w:rsid w:val="00462DBA"/>
    <w:rsid w:val="004631FA"/>
    <w:rsid w:val="004635B7"/>
    <w:rsid w:val="0046365B"/>
    <w:rsid w:val="00463750"/>
    <w:rsid w:val="00464027"/>
    <w:rsid w:val="004640DD"/>
    <w:rsid w:val="004641CB"/>
    <w:rsid w:val="0046443B"/>
    <w:rsid w:val="004647D8"/>
    <w:rsid w:val="00464BC7"/>
    <w:rsid w:val="004651B8"/>
    <w:rsid w:val="00465580"/>
    <w:rsid w:val="00465972"/>
    <w:rsid w:val="00465B80"/>
    <w:rsid w:val="00465E7E"/>
    <w:rsid w:val="0046695A"/>
    <w:rsid w:val="00466BB5"/>
    <w:rsid w:val="004672E8"/>
    <w:rsid w:val="0046758F"/>
    <w:rsid w:val="004677E9"/>
    <w:rsid w:val="00470535"/>
    <w:rsid w:val="00470FA5"/>
    <w:rsid w:val="00471183"/>
    <w:rsid w:val="0047123C"/>
    <w:rsid w:val="004714F6"/>
    <w:rsid w:val="00471E38"/>
    <w:rsid w:val="0047289C"/>
    <w:rsid w:val="00472C39"/>
    <w:rsid w:val="00472E22"/>
    <w:rsid w:val="00472F67"/>
    <w:rsid w:val="00473625"/>
    <w:rsid w:val="004739A1"/>
    <w:rsid w:val="00473CB2"/>
    <w:rsid w:val="00474254"/>
    <w:rsid w:val="004742B5"/>
    <w:rsid w:val="0047430D"/>
    <w:rsid w:val="00474EA6"/>
    <w:rsid w:val="00474FDF"/>
    <w:rsid w:val="00475688"/>
    <w:rsid w:val="004758F6"/>
    <w:rsid w:val="004759E3"/>
    <w:rsid w:val="00475C51"/>
    <w:rsid w:val="00476161"/>
    <w:rsid w:val="00476658"/>
    <w:rsid w:val="00476814"/>
    <w:rsid w:val="00476E34"/>
    <w:rsid w:val="00476EE1"/>
    <w:rsid w:val="00477163"/>
    <w:rsid w:val="00477898"/>
    <w:rsid w:val="00477B0E"/>
    <w:rsid w:val="00480195"/>
    <w:rsid w:val="00480921"/>
    <w:rsid w:val="00480BA6"/>
    <w:rsid w:val="00481380"/>
    <w:rsid w:val="00481688"/>
    <w:rsid w:val="00481CC8"/>
    <w:rsid w:val="004820E0"/>
    <w:rsid w:val="004822CA"/>
    <w:rsid w:val="0048261A"/>
    <w:rsid w:val="00482779"/>
    <w:rsid w:val="00482A1F"/>
    <w:rsid w:val="0048385A"/>
    <w:rsid w:val="00483A8E"/>
    <w:rsid w:val="00483F95"/>
    <w:rsid w:val="00484D20"/>
    <w:rsid w:val="004850C1"/>
    <w:rsid w:val="00485219"/>
    <w:rsid w:val="0048657A"/>
    <w:rsid w:val="00486F54"/>
    <w:rsid w:val="00487038"/>
    <w:rsid w:val="004871B4"/>
    <w:rsid w:val="00487422"/>
    <w:rsid w:val="004876DD"/>
    <w:rsid w:val="004914E9"/>
    <w:rsid w:val="004915E6"/>
    <w:rsid w:val="0049178A"/>
    <w:rsid w:val="004917FC"/>
    <w:rsid w:val="00491C1D"/>
    <w:rsid w:val="00491DF1"/>
    <w:rsid w:val="00491FE1"/>
    <w:rsid w:val="00491FF1"/>
    <w:rsid w:val="00492535"/>
    <w:rsid w:val="00492EBB"/>
    <w:rsid w:val="00493435"/>
    <w:rsid w:val="004937CB"/>
    <w:rsid w:val="00494B28"/>
    <w:rsid w:val="0049527B"/>
    <w:rsid w:val="004955A9"/>
    <w:rsid w:val="00495760"/>
    <w:rsid w:val="00495CF9"/>
    <w:rsid w:val="00495EAF"/>
    <w:rsid w:val="00495FFF"/>
    <w:rsid w:val="0049613A"/>
    <w:rsid w:val="00496705"/>
    <w:rsid w:val="0049689F"/>
    <w:rsid w:val="00496A9F"/>
    <w:rsid w:val="00497270"/>
    <w:rsid w:val="00497358"/>
    <w:rsid w:val="00497AC9"/>
    <w:rsid w:val="00497D6F"/>
    <w:rsid w:val="00497FA5"/>
    <w:rsid w:val="004A0036"/>
    <w:rsid w:val="004A03B3"/>
    <w:rsid w:val="004A04D5"/>
    <w:rsid w:val="004A0792"/>
    <w:rsid w:val="004A0BF2"/>
    <w:rsid w:val="004A1387"/>
    <w:rsid w:val="004A1B07"/>
    <w:rsid w:val="004A21D8"/>
    <w:rsid w:val="004A2DE9"/>
    <w:rsid w:val="004A2E04"/>
    <w:rsid w:val="004A3226"/>
    <w:rsid w:val="004A399F"/>
    <w:rsid w:val="004A4096"/>
    <w:rsid w:val="004A40C1"/>
    <w:rsid w:val="004A4692"/>
    <w:rsid w:val="004A502C"/>
    <w:rsid w:val="004A5030"/>
    <w:rsid w:val="004A5582"/>
    <w:rsid w:val="004A669F"/>
    <w:rsid w:val="004A6842"/>
    <w:rsid w:val="004A718C"/>
    <w:rsid w:val="004A720B"/>
    <w:rsid w:val="004A751A"/>
    <w:rsid w:val="004A7DBE"/>
    <w:rsid w:val="004A7F94"/>
    <w:rsid w:val="004B0209"/>
    <w:rsid w:val="004B08AC"/>
    <w:rsid w:val="004B0B18"/>
    <w:rsid w:val="004B0D88"/>
    <w:rsid w:val="004B0E03"/>
    <w:rsid w:val="004B0FF1"/>
    <w:rsid w:val="004B14D9"/>
    <w:rsid w:val="004B1574"/>
    <w:rsid w:val="004B206E"/>
    <w:rsid w:val="004B20F3"/>
    <w:rsid w:val="004B229E"/>
    <w:rsid w:val="004B271B"/>
    <w:rsid w:val="004B29C2"/>
    <w:rsid w:val="004B29E1"/>
    <w:rsid w:val="004B2C52"/>
    <w:rsid w:val="004B2F46"/>
    <w:rsid w:val="004B2F7D"/>
    <w:rsid w:val="004B3119"/>
    <w:rsid w:val="004B395D"/>
    <w:rsid w:val="004B3D50"/>
    <w:rsid w:val="004B4194"/>
    <w:rsid w:val="004B457E"/>
    <w:rsid w:val="004B5447"/>
    <w:rsid w:val="004B55F0"/>
    <w:rsid w:val="004B56C3"/>
    <w:rsid w:val="004B5E0F"/>
    <w:rsid w:val="004B6377"/>
    <w:rsid w:val="004B656C"/>
    <w:rsid w:val="004B6928"/>
    <w:rsid w:val="004B6AA6"/>
    <w:rsid w:val="004B754D"/>
    <w:rsid w:val="004B79FA"/>
    <w:rsid w:val="004B7D94"/>
    <w:rsid w:val="004C05DE"/>
    <w:rsid w:val="004C0FB7"/>
    <w:rsid w:val="004C104B"/>
    <w:rsid w:val="004C10C7"/>
    <w:rsid w:val="004C12B2"/>
    <w:rsid w:val="004C164A"/>
    <w:rsid w:val="004C2C65"/>
    <w:rsid w:val="004C2E14"/>
    <w:rsid w:val="004C2FE3"/>
    <w:rsid w:val="004C305A"/>
    <w:rsid w:val="004C31B4"/>
    <w:rsid w:val="004C333D"/>
    <w:rsid w:val="004C35EF"/>
    <w:rsid w:val="004C37ED"/>
    <w:rsid w:val="004C3A69"/>
    <w:rsid w:val="004C3BCF"/>
    <w:rsid w:val="004C45B3"/>
    <w:rsid w:val="004C4829"/>
    <w:rsid w:val="004C4D30"/>
    <w:rsid w:val="004C4EAB"/>
    <w:rsid w:val="004C4F4F"/>
    <w:rsid w:val="004C5570"/>
    <w:rsid w:val="004C5BD0"/>
    <w:rsid w:val="004C5D52"/>
    <w:rsid w:val="004C5DB0"/>
    <w:rsid w:val="004C60D8"/>
    <w:rsid w:val="004C62EE"/>
    <w:rsid w:val="004C633F"/>
    <w:rsid w:val="004C6A0D"/>
    <w:rsid w:val="004C6A34"/>
    <w:rsid w:val="004C76AB"/>
    <w:rsid w:val="004C7E17"/>
    <w:rsid w:val="004C7F5B"/>
    <w:rsid w:val="004D03F6"/>
    <w:rsid w:val="004D0B78"/>
    <w:rsid w:val="004D0C1E"/>
    <w:rsid w:val="004D0FCC"/>
    <w:rsid w:val="004D1000"/>
    <w:rsid w:val="004D1512"/>
    <w:rsid w:val="004D1561"/>
    <w:rsid w:val="004D1C3A"/>
    <w:rsid w:val="004D1D27"/>
    <w:rsid w:val="004D2EC3"/>
    <w:rsid w:val="004D2FF6"/>
    <w:rsid w:val="004D3FD6"/>
    <w:rsid w:val="004D405F"/>
    <w:rsid w:val="004D4520"/>
    <w:rsid w:val="004D55CA"/>
    <w:rsid w:val="004D5A27"/>
    <w:rsid w:val="004D5F0E"/>
    <w:rsid w:val="004D63A3"/>
    <w:rsid w:val="004D6626"/>
    <w:rsid w:val="004D6758"/>
    <w:rsid w:val="004D67D3"/>
    <w:rsid w:val="004D732E"/>
    <w:rsid w:val="004D7B1A"/>
    <w:rsid w:val="004D7CAF"/>
    <w:rsid w:val="004E0830"/>
    <w:rsid w:val="004E169C"/>
    <w:rsid w:val="004E1BF0"/>
    <w:rsid w:val="004E1E6A"/>
    <w:rsid w:val="004E220F"/>
    <w:rsid w:val="004E28E1"/>
    <w:rsid w:val="004E2B01"/>
    <w:rsid w:val="004E34C7"/>
    <w:rsid w:val="004E356A"/>
    <w:rsid w:val="004E375D"/>
    <w:rsid w:val="004E3850"/>
    <w:rsid w:val="004E3FC1"/>
    <w:rsid w:val="004E4813"/>
    <w:rsid w:val="004E50D4"/>
    <w:rsid w:val="004E58EA"/>
    <w:rsid w:val="004E5F65"/>
    <w:rsid w:val="004E68EF"/>
    <w:rsid w:val="004E6C7A"/>
    <w:rsid w:val="004E74D3"/>
    <w:rsid w:val="004E7615"/>
    <w:rsid w:val="004E7CDF"/>
    <w:rsid w:val="004F02AF"/>
    <w:rsid w:val="004F078C"/>
    <w:rsid w:val="004F1087"/>
    <w:rsid w:val="004F1324"/>
    <w:rsid w:val="004F1A03"/>
    <w:rsid w:val="004F1A8F"/>
    <w:rsid w:val="004F1C06"/>
    <w:rsid w:val="004F1C3A"/>
    <w:rsid w:val="004F1C7D"/>
    <w:rsid w:val="004F1D24"/>
    <w:rsid w:val="004F1DD7"/>
    <w:rsid w:val="004F21D2"/>
    <w:rsid w:val="004F2641"/>
    <w:rsid w:val="004F27F3"/>
    <w:rsid w:val="004F29B9"/>
    <w:rsid w:val="004F2B8E"/>
    <w:rsid w:val="004F2C85"/>
    <w:rsid w:val="004F32BF"/>
    <w:rsid w:val="004F3C22"/>
    <w:rsid w:val="004F3CC7"/>
    <w:rsid w:val="004F3E6A"/>
    <w:rsid w:val="004F469D"/>
    <w:rsid w:val="004F5346"/>
    <w:rsid w:val="004F5773"/>
    <w:rsid w:val="004F5C09"/>
    <w:rsid w:val="004F5E4E"/>
    <w:rsid w:val="004F5EE3"/>
    <w:rsid w:val="004F6057"/>
    <w:rsid w:val="004F63CC"/>
    <w:rsid w:val="004F6678"/>
    <w:rsid w:val="004F6B28"/>
    <w:rsid w:val="004F6C65"/>
    <w:rsid w:val="004F6D2E"/>
    <w:rsid w:val="004F797A"/>
    <w:rsid w:val="004F7F0F"/>
    <w:rsid w:val="004F7FBC"/>
    <w:rsid w:val="005001AE"/>
    <w:rsid w:val="005007E7"/>
    <w:rsid w:val="005010CB"/>
    <w:rsid w:val="005012FC"/>
    <w:rsid w:val="00501CDC"/>
    <w:rsid w:val="00501E6C"/>
    <w:rsid w:val="00501EBE"/>
    <w:rsid w:val="00502581"/>
    <w:rsid w:val="00503551"/>
    <w:rsid w:val="00503963"/>
    <w:rsid w:val="00503F38"/>
    <w:rsid w:val="005043FC"/>
    <w:rsid w:val="00504A55"/>
    <w:rsid w:val="00504B31"/>
    <w:rsid w:val="00505876"/>
    <w:rsid w:val="0050591A"/>
    <w:rsid w:val="00505A1E"/>
    <w:rsid w:val="00505AC6"/>
    <w:rsid w:val="00505F08"/>
    <w:rsid w:val="0050671D"/>
    <w:rsid w:val="0050672C"/>
    <w:rsid w:val="00506C0C"/>
    <w:rsid w:val="00506C4C"/>
    <w:rsid w:val="00506C63"/>
    <w:rsid w:val="0050700E"/>
    <w:rsid w:val="00507366"/>
    <w:rsid w:val="00507900"/>
    <w:rsid w:val="00507909"/>
    <w:rsid w:val="005079D7"/>
    <w:rsid w:val="00507B2A"/>
    <w:rsid w:val="00507D3E"/>
    <w:rsid w:val="00510A22"/>
    <w:rsid w:val="00510D8A"/>
    <w:rsid w:val="00511D6B"/>
    <w:rsid w:val="00511EBC"/>
    <w:rsid w:val="005125D5"/>
    <w:rsid w:val="00512D51"/>
    <w:rsid w:val="00512E95"/>
    <w:rsid w:val="0051326C"/>
    <w:rsid w:val="00514674"/>
    <w:rsid w:val="0051477F"/>
    <w:rsid w:val="00514803"/>
    <w:rsid w:val="00514C46"/>
    <w:rsid w:val="00514DDC"/>
    <w:rsid w:val="00514E00"/>
    <w:rsid w:val="005151C3"/>
    <w:rsid w:val="00515BCF"/>
    <w:rsid w:val="00516083"/>
    <w:rsid w:val="0051635A"/>
    <w:rsid w:val="0051646E"/>
    <w:rsid w:val="00516586"/>
    <w:rsid w:val="005166C3"/>
    <w:rsid w:val="00516A18"/>
    <w:rsid w:val="00516BD0"/>
    <w:rsid w:val="00516EA5"/>
    <w:rsid w:val="005179DA"/>
    <w:rsid w:val="00517E2A"/>
    <w:rsid w:val="00520AD7"/>
    <w:rsid w:val="00520C1C"/>
    <w:rsid w:val="00521386"/>
    <w:rsid w:val="00521439"/>
    <w:rsid w:val="00522133"/>
    <w:rsid w:val="005224B0"/>
    <w:rsid w:val="0052292E"/>
    <w:rsid w:val="005229C6"/>
    <w:rsid w:val="00522A3A"/>
    <w:rsid w:val="005232E0"/>
    <w:rsid w:val="0052373B"/>
    <w:rsid w:val="00523CFF"/>
    <w:rsid w:val="00523E00"/>
    <w:rsid w:val="0052404E"/>
    <w:rsid w:val="0052428F"/>
    <w:rsid w:val="0052439F"/>
    <w:rsid w:val="005243EB"/>
    <w:rsid w:val="00525104"/>
    <w:rsid w:val="00525789"/>
    <w:rsid w:val="00525890"/>
    <w:rsid w:val="005258E2"/>
    <w:rsid w:val="00526452"/>
    <w:rsid w:val="00526816"/>
    <w:rsid w:val="00526B0D"/>
    <w:rsid w:val="00526F09"/>
    <w:rsid w:val="0052733A"/>
    <w:rsid w:val="00527A6F"/>
    <w:rsid w:val="00527DF9"/>
    <w:rsid w:val="00527F4F"/>
    <w:rsid w:val="00530512"/>
    <w:rsid w:val="00530799"/>
    <w:rsid w:val="005309C9"/>
    <w:rsid w:val="0053109F"/>
    <w:rsid w:val="005311E8"/>
    <w:rsid w:val="005312C4"/>
    <w:rsid w:val="0053133A"/>
    <w:rsid w:val="00531822"/>
    <w:rsid w:val="00531AF5"/>
    <w:rsid w:val="00531D8F"/>
    <w:rsid w:val="005326D0"/>
    <w:rsid w:val="005327CB"/>
    <w:rsid w:val="00532800"/>
    <w:rsid w:val="005328BC"/>
    <w:rsid w:val="00532A80"/>
    <w:rsid w:val="00532FDA"/>
    <w:rsid w:val="00533EE8"/>
    <w:rsid w:val="0053417D"/>
    <w:rsid w:val="00534587"/>
    <w:rsid w:val="0053490C"/>
    <w:rsid w:val="005349A0"/>
    <w:rsid w:val="00535585"/>
    <w:rsid w:val="005357C2"/>
    <w:rsid w:val="00536A58"/>
    <w:rsid w:val="00536AB4"/>
    <w:rsid w:val="00536F48"/>
    <w:rsid w:val="00537022"/>
    <w:rsid w:val="00537060"/>
    <w:rsid w:val="00537127"/>
    <w:rsid w:val="0053764B"/>
    <w:rsid w:val="00537A13"/>
    <w:rsid w:val="00537F50"/>
    <w:rsid w:val="0054069F"/>
    <w:rsid w:val="00541307"/>
    <w:rsid w:val="00541B0B"/>
    <w:rsid w:val="00541B60"/>
    <w:rsid w:val="00541CFE"/>
    <w:rsid w:val="00541DB8"/>
    <w:rsid w:val="00541F69"/>
    <w:rsid w:val="00541F9A"/>
    <w:rsid w:val="00542599"/>
    <w:rsid w:val="00542A66"/>
    <w:rsid w:val="00542DEF"/>
    <w:rsid w:val="00542EB4"/>
    <w:rsid w:val="0054351C"/>
    <w:rsid w:val="0054362E"/>
    <w:rsid w:val="0054367D"/>
    <w:rsid w:val="00543774"/>
    <w:rsid w:val="00543833"/>
    <w:rsid w:val="005448B9"/>
    <w:rsid w:val="00544C51"/>
    <w:rsid w:val="00545136"/>
    <w:rsid w:val="005452C1"/>
    <w:rsid w:val="00545698"/>
    <w:rsid w:val="005458C5"/>
    <w:rsid w:val="00545B42"/>
    <w:rsid w:val="00545BA6"/>
    <w:rsid w:val="0054612B"/>
    <w:rsid w:val="005466DF"/>
    <w:rsid w:val="00546773"/>
    <w:rsid w:val="00547753"/>
    <w:rsid w:val="005479F5"/>
    <w:rsid w:val="00547D90"/>
    <w:rsid w:val="005501E4"/>
    <w:rsid w:val="005506E4"/>
    <w:rsid w:val="005508EF"/>
    <w:rsid w:val="005510E3"/>
    <w:rsid w:val="005514A5"/>
    <w:rsid w:val="0055173F"/>
    <w:rsid w:val="005517FD"/>
    <w:rsid w:val="00551AE8"/>
    <w:rsid w:val="00551D57"/>
    <w:rsid w:val="0055273A"/>
    <w:rsid w:val="00552AFD"/>
    <w:rsid w:val="00552E11"/>
    <w:rsid w:val="00552FEB"/>
    <w:rsid w:val="0055326B"/>
    <w:rsid w:val="005532A3"/>
    <w:rsid w:val="00553395"/>
    <w:rsid w:val="00553567"/>
    <w:rsid w:val="005538EF"/>
    <w:rsid w:val="0055400F"/>
    <w:rsid w:val="00554019"/>
    <w:rsid w:val="005548DD"/>
    <w:rsid w:val="00554DDC"/>
    <w:rsid w:val="00555425"/>
    <w:rsid w:val="00555500"/>
    <w:rsid w:val="00555CEE"/>
    <w:rsid w:val="00555FC3"/>
    <w:rsid w:val="00556027"/>
    <w:rsid w:val="00556506"/>
    <w:rsid w:val="0055659A"/>
    <w:rsid w:val="00556731"/>
    <w:rsid w:val="00557401"/>
    <w:rsid w:val="0055747C"/>
    <w:rsid w:val="00557D41"/>
    <w:rsid w:val="00557F5B"/>
    <w:rsid w:val="00557FE2"/>
    <w:rsid w:val="00560729"/>
    <w:rsid w:val="005608D4"/>
    <w:rsid w:val="00560A86"/>
    <w:rsid w:val="00561C64"/>
    <w:rsid w:val="00562173"/>
    <w:rsid w:val="0056218D"/>
    <w:rsid w:val="0056255F"/>
    <w:rsid w:val="00562CD2"/>
    <w:rsid w:val="00562E4D"/>
    <w:rsid w:val="00562EAD"/>
    <w:rsid w:val="00563222"/>
    <w:rsid w:val="0056367C"/>
    <w:rsid w:val="00563AEB"/>
    <w:rsid w:val="005642AA"/>
    <w:rsid w:val="00564321"/>
    <w:rsid w:val="00564344"/>
    <w:rsid w:val="00564775"/>
    <w:rsid w:val="00565150"/>
    <w:rsid w:val="00565D79"/>
    <w:rsid w:val="005663FB"/>
    <w:rsid w:val="00566C28"/>
    <w:rsid w:val="00566EBC"/>
    <w:rsid w:val="005673A1"/>
    <w:rsid w:val="00567500"/>
    <w:rsid w:val="0056753D"/>
    <w:rsid w:val="0056764D"/>
    <w:rsid w:val="00567811"/>
    <w:rsid w:val="00567CDA"/>
    <w:rsid w:val="00567DEE"/>
    <w:rsid w:val="00570163"/>
    <w:rsid w:val="005701B3"/>
    <w:rsid w:val="005702BD"/>
    <w:rsid w:val="005704B1"/>
    <w:rsid w:val="005709FC"/>
    <w:rsid w:val="005719AC"/>
    <w:rsid w:val="00571E09"/>
    <w:rsid w:val="00572749"/>
    <w:rsid w:val="005739F4"/>
    <w:rsid w:val="00573A7F"/>
    <w:rsid w:val="00573EE1"/>
    <w:rsid w:val="00573EEA"/>
    <w:rsid w:val="00574054"/>
    <w:rsid w:val="0057406C"/>
    <w:rsid w:val="00575010"/>
    <w:rsid w:val="00575051"/>
    <w:rsid w:val="005758E3"/>
    <w:rsid w:val="00576069"/>
    <w:rsid w:val="00576A85"/>
    <w:rsid w:val="00576AD5"/>
    <w:rsid w:val="00576D35"/>
    <w:rsid w:val="005775C0"/>
    <w:rsid w:val="005777C8"/>
    <w:rsid w:val="00577AD5"/>
    <w:rsid w:val="00577F23"/>
    <w:rsid w:val="00580414"/>
    <w:rsid w:val="00580A50"/>
    <w:rsid w:val="00580A72"/>
    <w:rsid w:val="00580D48"/>
    <w:rsid w:val="0058107B"/>
    <w:rsid w:val="0058149F"/>
    <w:rsid w:val="0058161B"/>
    <w:rsid w:val="005816E1"/>
    <w:rsid w:val="005817A5"/>
    <w:rsid w:val="00581B22"/>
    <w:rsid w:val="00581DF3"/>
    <w:rsid w:val="0058256F"/>
    <w:rsid w:val="00582853"/>
    <w:rsid w:val="00582893"/>
    <w:rsid w:val="00582C76"/>
    <w:rsid w:val="00583706"/>
    <w:rsid w:val="00583714"/>
    <w:rsid w:val="00583A87"/>
    <w:rsid w:val="00583AF1"/>
    <w:rsid w:val="00583CCB"/>
    <w:rsid w:val="0058403B"/>
    <w:rsid w:val="005842BA"/>
    <w:rsid w:val="005843E6"/>
    <w:rsid w:val="00584546"/>
    <w:rsid w:val="005845FA"/>
    <w:rsid w:val="00584755"/>
    <w:rsid w:val="00584AC0"/>
    <w:rsid w:val="00585C21"/>
    <w:rsid w:val="00585FAC"/>
    <w:rsid w:val="00586166"/>
    <w:rsid w:val="00586B7C"/>
    <w:rsid w:val="00586E72"/>
    <w:rsid w:val="00586F8F"/>
    <w:rsid w:val="005874CD"/>
    <w:rsid w:val="00587515"/>
    <w:rsid w:val="00587597"/>
    <w:rsid w:val="00587A79"/>
    <w:rsid w:val="00587AAF"/>
    <w:rsid w:val="00587B8C"/>
    <w:rsid w:val="00590753"/>
    <w:rsid w:val="005908D5"/>
    <w:rsid w:val="00590918"/>
    <w:rsid w:val="00590D18"/>
    <w:rsid w:val="00590EDD"/>
    <w:rsid w:val="00591988"/>
    <w:rsid w:val="00591EBD"/>
    <w:rsid w:val="00591F7C"/>
    <w:rsid w:val="0059217A"/>
    <w:rsid w:val="005921C8"/>
    <w:rsid w:val="005922A3"/>
    <w:rsid w:val="0059239E"/>
    <w:rsid w:val="005924DB"/>
    <w:rsid w:val="005929E8"/>
    <w:rsid w:val="00592A2E"/>
    <w:rsid w:val="00592BF2"/>
    <w:rsid w:val="005930CE"/>
    <w:rsid w:val="00593155"/>
    <w:rsid w:val="0059353B"/>
    <w:rsid w:val="005937D4"/>
    <w:rsid w:val="005937E5"/>
    <w:rsid w:val="005938DB"/>
    <w:rsid w:val="005949FB"/>
    <w:rsid w:val="00594C1A"/>
    <w:rsid w:val="00594E4A"/>
    <w:rsid w:val="00595106"/>
    <w:rsid w:val="00595692"/>
    <w:rsid w:val="005956E4"/>
    <w:rsid w:val="0059573E"/>
    <w:rsid w:val="00595789"/>
    <w:rsid w:val="00595B7B"/>
    <w:rsid w:val="00596020"/>
    <w:rsid w:val="0059632F"/>
    <w:rsid w:val="005967A2"/>
    <w:rsid w:val="00597799"/>
    <w:rsid w:val="005977F9"/>
    <w:rsid w:val="00597BA8"/>
    <w:rsid w:val="00597F70"/>
    <w:rsid w:val="005A01E7"/>
    <w:rsid w:val="005A02C8"/>
    <w:rsid w:val="005A09E5"/>
    <w:rsid w:val="005A1473"/>
    <w:rsid w:val="005A161A"/>
    <w:rsid w:val="005A19FF"/>
    <w:rsid w:val="005A1A96"/>
    <w:rsid w:val="005A2074"/>
    <w:rsid w:val="005A24AE"/>
    <w:rsid w:val="005A25BB"/>
    <w:rsid w:val="005A2711"/>
    <w:rsid w:val="005A2C2B"/>
    <w:rsid w:val="005A3394"/>
    <w:rsid w:val="005A3AD9"/>
    <w:rsid w:val="005A403A"/>
    <w:rsid w:val="005A41F7"/>
    <w:rsid w:val="005A437E"/>
    <w:rsid w:val="005A43BE"/>
    <w:rsid w:val="005A4624"/>
    <w:rsid w:val="005A5011"/>
    <w:rsid w:val="005A508D"/>
    <w:rsid w:val="005A5F3B"/>
    <w:rsid w:val="005A60BA"/>
    <w:rsid w:val="005A6E09"/>
    <w:rsid w:val="005A7550"/>
    <w:rsid w:val="005A761B"/>
    <w:rsid w:val="005A79F3"/>
    <w:rsid w:val="005B0520"/>
    <w:rsid w:val="005B05A2"/>
    <w:rsid w:val="005B06F2"/>
    <w:rsid w:val="005B096F"/>
    <w:rsid w:val="005B0987"/>
    <w:rsid w:val="005B0B53"/>
    <w:rsid w:val="005B0FB5"/>
    <w:rsid w:val="005B1191"/>
    <w:rsid w:val="005B1205"/>
    <w:rsid w:val="005B1D3B"/>
    <w:rsid w:val="005B2088"/>
    <w:rsid w:val="005B2466"/>
    <w:rsid w:val="005B2BBB"/>
    <w:rsid w:val="005B2BF5"/>
    <w:rsid w:val="005B2CD1"/>
    <w:rsid w:val="005B2FD3"/>
    <w:rsid w:val="005B3D64"/>
    <w:rsid w:val="005B41B3"/>
    <w:rsid w:val="005B4289"/>
    <w:rsid w:val="005B47AD"/>
    <w:rsid w:val="005B4E30"/>
    <w:rsid w:val="005B5926"/>
    <w:rsid w:val="005B5A74"/>
    <w:rsid w:val="005B5D00"/>
    <w:rsid w:val="005B5DBE"/>
    <w:rsid w:val="005B66DA"/>
    <w:rsid w:val="005B67E1"/>
    <w:rsid w:val="005B6927"/>
    <w:rsid w:val="005B698D"/>
    <w:rsid w:val="005B6B33"/>
    <w:rsid w:val="005B6B72"/>
    <w:rsid w:val="005B6BFD"/>
    <w:rsid w:val="005B6CA5"/>
    <w:rsid w:val="005B7011"/>
    <w:rsid w:val="005B7331"/>
    <w:rsid w:val="005B75B6"/>
    <w:rsid w:val="005B789E"/>
    <w:rsid w:val="005B7F6E"/>
    <w:rsid w:val="005C01EA"/>
    <w:rsid w:val="005C0215"/>
    <w:rsid w:val="005C043D"/>
    <w:rsid w:val="005C0C11"/>
    <w:rsid w:val="005C12AC"/>
    <w:rsid w:val="005C1B0E"/>
    <w:rsid w:val="005C1C90"/>
    <w:rsid w:val="005C1CEF"/>
    <w:rsid w:val="005C1EF5"/>
    <w:rsid w:val="005C25B4"/>
    <w:rsid w:val="005C3964"/>
    <w:rsid w:val="005C428A"/>
    <w:rsid w:val="005C4330"/>
    <w:rsid w:val="005C4787"/>
    <w:rsid w:val="005C4997"/>
    <w:rsid w:val="005C5113"/>
    <w:rsid w:val="005C54B8"/>
    <w:rsid w:val="005C557C"/>
    <w:rsid w:val="005C56B7"/>
    <w:rsid w:val="005C5CDF"/>
    <w:rsid w:val="005C677E"/>
    <w:rsid w:val="005C6CD0"/>
    <w:rsid w:val="005C7072"/>
    <w:rsid w:val="005C7297"/>
    <w:rsid w:val="005C759E"/>
    <w:rsid w:val="005C76FC"/>
    <w:rsid w:val="005C785E"/>
    <w:rsid w:val="005C78D5"/>
    <w:rsid w:val="005D00B6"/>
    <w:rsid w:val="005D0F17"/>
    <w:rsid w:val="005D101F"/>
    <w:rsid w:val="005D1247"/>
    <w:rsid w:val="005D1D60"/>
    <w:rsid w:val="005D205D"/>
    <w:rsid w:val="005D20FF"/>
    <w:rsid w:val="005D2111"/>
    <w:rsid w:val="005D290E"/>
    <w:rsid w:val="005D2F54"/>
    <w:rsid w:val="005D33D2"/>
    <w:rsid w:val="005D353D"/>
    <w:rsid w:val="005D39B4"/>
    <w:rsid w:val="005D3FD5"/>
    <w:rsid w:val="005D55BC"/>
    <w:rsid w:val="005D593D"/>
    <w:rsid w:val="005D5D35"/>
    <w:rsid w:val="005D63A5"/>
    <w:rsid w:val="005D64AA"/>
    <w:rsid w:val="005D69A4"/>
    <w:rsid w:val="005D79B5"/>
    <w:rsid w:val="005D7BDA"/>
    <w:rsid w:val="005E0452"/>
    <w:rsid w:val="005E0A1F"/>
    <w:rsid w:val="005E0DEA"/>
    <w:rsid w:val="005E0FF7"/>
    <w:rsid w:val="005E1058"/>
    <w:rsid w:val="005E1654"/>
    <w:rsid w:val="005E1667"/>
    <w:rsid w:val="005E17B3"/>
    <w:rsid w:val="005E1990"/>
    <w:rsid w:val="005E1BB5"/>
    <w:rsid w:val="005E1BD6"/>
    <w:rsid w:val="005E1D1D"/>
    <w:rsid w:val="005E20D0"/>
    <w:rsid w:val="005E2594"/>
    <w:rsid w:val="005E272B"/>
    <w:rsid w:val="005E2A67"/>
    <w:rsid w:val="005E2A79"/>
    <w:rsid w:val="005E2D15"/>
    <w:rsid w:val="005E2EDB"/>
    <w:rsid w:val="005E2FB1"/>
    <w:rsid w:val="005E3850"/>
    <w:rsid w:val="005E3EB4"/>
    <w:rsid w:val="005E3FEB"/>
    <w:rsid w:val="005E40C8"/>
    <w:rsid w:val="005E43DF"/>
    <w:rsid w:val="005E455E"/>
    <w:rsid w:val="005E48DE"/>
    <w:rsid w:val="005E566F"/>
    <w:rsid w:val="005E5EB1"/>
    <w:rsid w:val="005E64AF"/>
    <w:rsid w:val="005E6BE9"/>
    <w:rsid w:val="005E70A6"/>
    <w:rsid w:val="005E71A5"/>
    <w:rsid w:val="005E7221"/>
    <w:rsid w:val="005E777B"/>
    <w:rsid w:val="005F00B5"/>
    <w:rsid w:val="005F03D5"/>
    <w:rsid w:val="005F0860"/>
    <w:rsid w:val="005F0B85"/>
    <w:rsid w:val="005F14A7"/>
    <w:rsid w:val="005F1B20"/>
    <w:rsid w:val="005F1E18"/>
    <w:rsid w:val="005F27E0"/>
    <w:rsid w:val="005F29C0"/>
    <w:rsid w:val="005F2A66"/>
    <w:rsid w:val="005F2B32"/>
    <w:rsid w:val="005F2BBB"/>
    <w:rsid w:val="005F2C3E"/>
    <w:rsid w:val="005F3176"/>
    <w:rsid w:val="005F3549"/>
    <w:rsid w:val="005F3D56"/>
    <w:rsid w:val="005F3D8C"/>
    <w:rsid w:val="005F44BD"/>
    <w:rsid w:val="005F54B4"/>
    <w:rsid w:val="005F5576"/>
    <w:rsid w:val="005F57AB"/>
    <w:rsid w:val="005F5A4E"/>
    <w:rsid w:val="005F5A6F"/>
    <w:rsid w:val="005F5BE9"/>
    <w:rsid w:val="005F5C6D"/>
    <w:rsid w:val="005F5E8E"/>
    <w:rsid w:val="005F60E6"/>
    <w:rsid w:val="005F61DD"/>
    <w:rsid w:val="005F764A"/>
    <w:rsid w:val="005F7B0F"/>
    <w:rsid w:val="0060008E"/>
    <w:rsid w:val="006005C1"/>
    <w:rsid w:val="006006FD"/>
    <w:rsid w:val="00600CE1"/>
    <w:rsid w:val="006011A0"/>
    <w:rsid w:val="00601C1B"/>
    <w:rsid w:val="00601CF8"/>
    <w:rsid w:val="00601D9B"/>
    <w:rsid w:val="00602A78"/>
    <w:rsid w:val="00602BCA"/>
    <w:rsid w:val="0060305F"/>
    <w:rsid w:val="006034C7"/>
    <w:rsid w:val="00604617"/>
    <w:rsid w:val="00604730"/>
    <w:rsid w:val="006049CE"/>
    <w:rsid w:val="00604AE3"/>
    <w:rsid w:val="00604C2F"/>
    <w:rsid w:val="00604D1B"/>
    <w:rsid w:val="006052A3"/>
    <w:rsid w:val="006053D8"/>
    <w:rsid w:val="006057CF"/>
    <w:rsid w:val="006059A0"/>
    <w:rsid w:val="00605A1A"/>
    <w:rsid w:val="00605AFD"/>
    <w:rsid w:val="00605D40"/>
    <w:rsid w:val="00605DC6"/>
    <w:rsid w:val="00606054"/>
    <w:rsid w:val="0060611E"/>
    <w:rsid w:val="006063E0"/>
    <w:rsid w:val="0060660B"/>
    <w:rsid w:val="00606906"/>
    <w:rsid w:val="00606EE7"/>
    <w:rsid w:val="00606FAA"/>
    <w:rsid w:val="0060718C"/>
    <w:rsid w:val="0060756A"/>
    <w:rsid w:val="00607C10"/>
    <w:rsid w:val="006103B7"/>
    <w:rsid w:val="00611BA6"/>
    <w:rsid w:val="006120BB"/>
    <w:rsid w:val="006129CC"/>
    <w:rsid w:val="00612D19"/>
    <w:rsid w:val="0061330F"/>
    <w:rsid w:val="00613641"/>
    <w:rsid w:val="00613B1D"/>
    <w:rsid w:val="00613BED"/>
    <w:rsid w:val="00614139"/>
    <w:rsid w:val="00614483"/>
    <w:rsid w:val="0061478C"/>
    <w:rsid w:val="00614C26"/>
    <w:rsid w:val="0061516E"/>
    <w:rsid w:val="006151BC"/>
    <w:rsid w:val="00615204"/>
    <w:rsid w:val="006154F0"/>
    <w:rsid w:val="006156F3"/>
    <w:rsid w:val="00615E77"/>
    <w:rsid w:val="006162A3"/>
    <w:rsid w:val="006164FE"/>
    <w:rsid w:val="00616C7D"/>
    <w:rsid w:val="0061735F"/>
    <w:rsid w:val="00617A4A"/>
    <w:rsid w:val="006205E1"/>
    <w:rsid w:val="006205F3"/>
    <w:rsid w:val="006208EE"/>
    <w:rsid w:val="0062091D"/>
    <w:rsid w:val="00620C44"/>
    <w:rsid w:val="0062100E"/>
    <w:rsid w:val="006211A5"/>
    <w:rsid w:val="00621529"/>
    <w:rsid w:val="006219BC"/>
    <w:rsid w:val="00622134"/>
    <w:rsid w:val="006226AF"/>
    <w:rsid w:val="00622789"/>
    <w:rsid w:val="00623148"/>
    <w:rsid w:val="006233C1"/>
    <w:rsid w:val="006235B3"/>
    <w:rsid w:val="00623D75"/>
    <w:rsid w:val="00623F22"/>
    <w:rsid w:val="006242E1"/>
    <w:rsid w:val="00624649"/>
    <w:rsid w:val="006249A7"/>
    <w:rsid w:val="006249D1"/>
    <w:rsid w:val="00624C64"/>
    <w:rsid w:val="00624D4F"/>
    <w:rsid w:val="00624DB1"/>
    <w:rsid w:val="006251B8"/>
    <w:rsid w:val="00625713"/>
    <w:rsid w:val="00625B22"/>
    <w:rsid w:val="00625C53"/>
    <w:rsid w:val="00626415"/>
    <w:rsid w:val="00626447"/>
    <w:rsid w:val="0062692A"/>
    <w:rsid w:val="0062768B"/>
    <w:rsid w:val="00627A49"/>
    <w:rsid w:val="00627D2B"/>
    <w:rsid w:val="00627D60"/>
    <w:rsid w:val="00627E30"/>
    <w:rsid w:val="00630169"/>
    <w:rsid w:val="006301D7"/>
    <w:rsid w:val="006303FC"/>
    <w:rsid w:val="00630477"/>
    <w:rsid w:val="006309D1"/>
    <w:rsid w:val="00630E40"/>
    <w:rsid w:val="00631575"/>
    <w:rsid w:val="00631716"/>
    <w:rsid w:val="0063179F"/>
    <w:rsid w:val="006317A4"/>
    <w:rsid w:val="00632259"/>
    <w:rsid w:val="00632765"/>
    <w:rsid w:val="00632DD8"/>
    <w:rsid w:val="0063336D"/>
    <w:rsid w:val="006338DA"/>
    <w:rsid w:val="0063390C"/>
    <w:rsid w:val="00633A5E"/>
    <w:rsid w:val="00633F74"/>
    <w:rsid w:val="00634763"/>
    <w:rsid w:val="00634CEA"/>
    <w:rsid w:val="0063512A"/>
    <w:rsid w:val="00635641"/>
    <w:rsid w:val="00635AEB"/>
    <w:rsid w:val="006367B7"/>
    <w:rsid w:val="00636E0F"/>
    <w:rsid w:val="00636EF8"/>
    <w:rsid w:val="00636FEF"/>
    <w:rsid w:val="0063715F"/>
    <w:rsid w:val="006371D4"/>
    <w:rsid w:val="006377DB"/>
    <w:rsid w:val="006405A2"/>
    <w:rsid w:val="00640699"/>
    <w:rsid w:val="00640780"/>
    <w:rsid w:val="0064083A"/>
    <w:rsid w:val="0064096C"/>
    <w:rsid w:val="006417E0"/>
    <w:rsid w:val="006418D2"/>
    <w:rsid w:val="006419D4"/>
    <w:rsid w:val="00641B0A"/>
    <w:rsid w:val="00641E1E"/>
    <w:rsid w:val="00642453"/>
    <w:rsid w:val="00642C54"/>
    <w:rsid w:val="00643299"/>
    <w:rsid w:val="006438BE"/>
    <w:rsid w:val="006443B2"/>
    <w:rsid w:val="00645210"/>
    <w:rsid w:val="0064522C"/>
    <w:rsid w:val="00645933"/>
    <w:rsid w:val="006459B3"/>
    <w:rsid w:val="00645A6D"/>
    <w:rsid w:val="00645C9F"/>
    <w:rsid w:val="00645D57"/>
    <w:rsid w:val="00646970"/>
    <w:rsid w:val="00646FDD"/>
    <w:rsid w:val="00647474"/>
    <w:rsid w:val="006476BA"/>
    <w:rsid w:val="006476FA"/>
    <w:rsid w:val="00647883"/>
    <w:rsid w:val="00647A1D"/>
    <w:rsid w:val="00647C38"/>
    <w:rsid w:val="00647D39"/>
    <w:rsid w:val="006500A2"/>
    <w:rsid w:val="00650528"/>
    <w:rsid w:val="0065058D"/>
    <w:rsid w:val="00650C5E"/>
    <w:rsid w:val="00651147"/>
    <w:rsid w:val="0065131D"/>
    <w:rsid w:val="00651DC1"/>
    <w:rsid w:val="00651FD6"/>
    <w:rsid w:val="0065234B"/>
    <w:rsid w:val="00652384"/>
    <w:rsid w:val="00652480"/>
    <w:rsid w:val="0065252C"/>
    <w:rsid w:val="0065299F"/>
    <w:rsid w:val="00652D51"/>
    <w:rsid w:val="00653AC4"/>
    <w:rsid w:val="00653B46"/>
    <w:rsid w:val="00653C52"/>
    <w:rsid w:val="006540C1"/>
    <w:rsid w:val="00654118"/>
    <w:rsid w:val="0065460C"/>
    <w:rsid w:val="00654642"/>
    <w:rsid w:val="00654A80"/>
    <w:rsid w:val="00654A84"/>
    <w:rsid w:val="00654AF4"/>
    <w:rsid w:val="00654CB8"/>
    <w:rsid w:val="00655395"/>
    <w:rsid w:val="0065561D"/>
    <w:rsid w:val="006559AA"/>
    <w:rsid w:val="00655D2D"/>
    <w:rsid w:val="00655F61"/>
    <w:rsid w:val="0065628B"/>
    <w:rsid w:val="006562F3"/>
    <w:rsid w:val="006565D3"/>
    <w:rsid w:val="006569F2"/>
    <w:rsid w:val="00656F36"/>
    <w:rsid w:val="00656F87"/>
    <w:rsid w:val="00656FC3"/>
    <w:rsid w:val="00657693"/>
    <w:rsid w:val="00657861"/>
    <w:rsid w:val="00657B05"/>
    <w:rsid w:val="00657B97"/>
    <w:rsid w:val="00660010"/>
    <w:rsid w:val="00660083"/>
    <w:rsid w:val="00660680"/>
    <w:rsid w:val="00660BFB"/>
    <w:rsid w:val="00660E23"/>
    <w:rsid w:val="00660F41"/>
    <w:rsid w:val="00662003"/>
    <w:rsid w:val="00662A70"/>
    <w:rsid w:val="00662AF9"/>
    <w:rsid w:val="00662C14"/>
    <w:rsid w:val="00662C97"/>
    <w:rsid w:val="00662CBB"/>
    <w:rsid w:val="00662F3E"/>
    <w:rsid w:val="0066314F"/>
    <w:rsid w:val="0066398B"/>
    <w:rsid w:val="00663F53"/>
    <w:rsid w:val="0066486A"/>
    <w:rsid w:val="00664D5F"/>
    <w:rsid w:val="00664E4F"/>
    <w:rsid w:val="0066527F"/>
    <w:rsid w:val="006655BB"/>
    <w:rsid w:val="00666754"/>
    <w:rsid w:val="0066685A"/>
    <w:rsid w:val="00666AEA"/>
    <w:rsid w:val="00666D37"/>
    <w:rsid w:val="00666FCC"/>
    <w:rsid w:val="0066706E"/>
    <w:rsid w:val="0066754C"/>
    <w:rsid w:val="00667D71"/>
    <w:rsid w:val="00667FB2"/>
    <w:rsid w:val="00670237"/>
    <w:rsid w:val="00670D2E"/>
    <w:rsid w:val="006715AD"/>
    <w:rsid w:val="00671F8A"/>
    <w:rsid w:val="0067269F"/>
    <w:rsid w:val="006726CB"/>
    <w:rsid w:val="0067272F"/>
    <w:rsid w:val="0067276D"/>
    <w:rsid w:val="00672E8B"/>
    <w:rsid w:val="00672FC9"/>
    <w:rsid w:val="00673632"/>
    <w:rsid w:val="00673881"/>
    <w:rsid w:val="00673BA4"/>
    <w:rsid w:val="00674077"/>
    <w:rsid w:val="00674C5D"/>
    <w:rsid w:val="00674ED8"/>
    <w:rsid w:val="00675533"/>
    <w:rsid w:val="00675793"/>
    <w:rsid w:val="006759A7"/>
    <w:rsid w:val="00675A1D"/>
    <w:rsid w:val="00675C5E"/>
    <w:rsid w:val="00676816"/>
    <w:rsid w:val="00676851"/>
    <w:rsid w:val="00676F0B"/>
    <w:rsid w:val="006773D1"/>
    <w:rsid w:val="006775DC"/>
    <w:rsid w:val="00677F05"/>
    <w:rsid w:val="006801BB"/>
    <w:rsid w:val="006802E3"/>
    <w:rsid w:val="00680CC6"/>
    <w:rsid w:val="0068122E"/>
    <w:rsid w:val="00681676"/>
    <w:rsid w:val="0068241B"/>
    <w:rsid w:val="00683889"/>
    <w:rsid w:val="006838CA"/>
    <w:rsid w:val="00683B59"/>
    <w:rsid w:val="00683CC8"/>
    <w:rsid w:val="006842A2"/>
    <w:rsid w:val="0068472C"/>
    <w:rsid w:val="006848BB"/>
    <w:rsid w:val="00684A44"/>
    <w:rsid w:val="00685075"/>
    <w:rsid w:val="00685339"/>
    <w:rsid w:val="00685597"/>
    <w:rsid w:val="00685716"/>
    <w:rsid w:val="006858BD"/>
    <w:rsid w:val="006859F4"/>
    <w:rsid w:val="00685FC6"/>
    <w:rsid w:val="00686338"/>
    <w:rsid w:val="0068731C"/>
    <w:rsid w:val="00687893"/>
    <w:rsid w:val="006904AD"/>
    <w:rsid w:val="006905D5"/>
    <w:rsid w:val="006905F1"/>
    <w:rsid w:val="006912E6"/>
    <w:rsid w:val="006914E9"/>
    <w:rsid w:val="00691815"/>
    <w:rsid w:val="00691822"/>
    <w:rsid w:val="00691E51"/>
    <w:rsid w:val="006920CA"/>
    <w:rsid w:val="00692419"/>
    <w:rsid w:val="006927F0"/>
    <w:rsid w:val="00692C4E"/>
    <w:rsid w:val="006936DB"/>
    <w:rsid w:val="00693801"/>
    <w:rsid w:val="006943D0"/>
    <w:rsid w:val="006943E4"/>
    <w:rsid w:val="006944B8"/>
    <w:rsid w:val="00694706"/>
    <w:rsid w:val="00694C99"/>
    <w:rsid w:val="00694DF8"/>
    <w:rsid w:val="006956E0"/>
    <w:rsid w:val="00695D95"/>
    <w:rsid w:val="00695DDA"/>
    <w:rsid w:val="00695FD3"/>
    <w:rsid w:val="00696136"/>
    <w:rsid w:val="00696243"/>
    <w:rsid w:val="006962E6"/>
    <w:rsid w:val="0069657D"/>
    <w:rsid w:val="00696619"/>
    <w:rsid w:val="00696A8E"/>
    <w:rsid w:val="0069703E"/>
    <w:rsid w:val="00697208"/>
    <w:rsid w:val="00697A32"/>
    <w:rsid w:val="006A06E3"/>
    <w:rsid w:val="006A0B03"/>
    <w:rsid w:val="006A0ECA"/>
    <w:rsid w:val="006A11F4"/>
    <w:rsid w:val="006A14A8"/>
    <w:rsid w:val="006A182D"/>
    <w:rsid w:val="006A1ADF"/>
    <w:rsid w:val="006A23AC"/>
    <w:rsid w:val="006A2835"/>
    <w:rsid w:val="006A3411"/>
    <w:rsid w:val="006A3A19"/>
    <w:rsid w:val="006A3B9E"/>
    <w:rsid w:val="006A3D6D"/>
    <w:rsid w:val="006A3D73"/>
    <w:rsid w:val="006A43EA"/>
    <w:rsid w:val="006A44DE"/>
    <w:rsid w:val="006A471A"/>
    <w:rsid w:val="006A5290"/>
    <w:rsid w:val="006A54BC"/>
    <w:rsid w:val="006A590C"/>
    <w:rsid w:val="006A5C11"/>
    <w:rsid w:val="006A6290"/>
    <w:rsid w:val="006A6A1A"/>
    <w:rsid w:val="006A6BAB"/>
    <w:rsid w:val="006A6C28"/>
    <w:rsid w:val="006A6FE8"/>
    <w:rsid w:val="006A777A"/>
    <w:rsid w:val="006A7AE9"/>
    <w:rsid w:val="006A7C9D"/>
    <w:rsid w:val="006A7F1D"/>
    <w:rsid w:val="006B0264"/>
    <w:rsid w:val="006B0BF0"/>
    <w:rsid w:val="006B0D7E"/>
    <w:rsid w:val="006B1E59"/>
    <w:rsid w:val="006B269C"/>
    <w:rsid w:val="006B2995"/>
    <w:rsid w:val="006B2F13"/>
    <w:rsid w:val="006B3335"/>
    <w:rsid w:val="006B33FB"/>
    <w:rsid w:val="006B3EFD"/>
    <w:rsid w:val="006B40C8"/>
    <w:rsid w:val="006B46C9"/>
    <w:rsid w:val="006B472A"/>
    <w:rsid w:val="006B5149"/>
    <w:rsid w:val="006B549F"/>
    <w:rsid w:val="006B54EB"/>
    <w:rsid w:val="006B5F67"/>
    <w:rsid w:val="006B65CB"/>
    <w:rsid w:val="006B765D"/>
    <w:rsid w:val="006B767F"/>
    <w:rsid w:val="006B77ED"/>
    <w:rsid w:val="006C01F4"/>
    <w:rsid w:val="006C07A4"/>
    <w:rsid w:val="006C0867"/>
    <w:rsid w:val="006C12F3"/>
    <w:rsid w:val="006C1503"/>
    <w:rsid w:val="006C18B0"/>
    <w:rsid w:val="006C215A"/>
    <w:rsid w:val="006C24C7"/>
    <w:rsid w:val="006C273C"/>
    <w:rsid w:val="006C2FF1"/>
    <w:rsid w:val="006C374A"/>
    <w:rsid w:val="006C3A0F"/>
    <w:rsid w:val="006C3B9C"/>
    <w:rsid w:val="006C41FB"/>
    <w:rsid w:val="006C4400"/>
    <w:rsid w:val="006C479E"/>
    <w:rsid w:val="006C4A29"/>
    <w:rsid w:val="006C4A5F"/>
    <w:rsid w:val="006C54EE"/>
    <w:rsid w:val="006C57FE"/>
    <w:rsid w:val="006C5AB5"/>
    <w:rsid w:val="006C6854"/>
    <w:rsid w:val="006C6DB0"/>
    <w:rsid w:val="006C6E36"/>
    <w:rsid w:val="006C705E"/>
    <w:rsid w:val="006C7216"/>
    <w:rsid w:val="006C7266"/>
    <w:rsid w:val="006C791E"/>
    <w:rsid w:val="006D045E"/>
    <w:rsid w:val="006D05F4"/>
    <w:rsid w:val="006D0930"/>
    <w:rsid w:val="006D0B6D"/>
    <w:rsid w:val="006D1549"/>
    <w:rsid w:val="006D16EC"/>
    <w:rsid w:val="006D1A5F"/>
    <w:rsid w:val="006D1F0A"/>
    <w:rsid w:val="006D3429"/>
    <w:rsid w:val="006D366D"/>
    <w:rsid w:val="006D381C"/>
    <w:rsid w:val="006D39EA"/>
    <w:rsid w:val="006D3CE0"/>
    <w:rsid w:val="006D4644"/>
    <w:rsid w:val="006D4801"/>
    <w:rsid w:val="006D487E"/>
    <w:rsid w:val="006D4A33"/>
    <w:rsid w:val="006D53DF"/>
    <w:rsid w:val="006D54F7"/>
    <w:rsid w:val="006D5604"/>
    <w:rsid w:val="006D5CDA"/>
    <w:rsid w:val="006D65F5"/>
    <w:rsid w:val="006D6D76"/>
    <w:rsid w:val="006D7902"/>
    <w:rsid w:val="006D7C9D"/>
    <w:rsid w:val="006D7CD6"/>
    <w:rsid w:val="006D7D85"/>
    <w:rsid w:val="006E045E"/>
    <w:rsid w:val="006E04C4"/>
    <w:rsid w:val="006E092C"/>
    <w:rsid w:val="006E09E9"/>
    <w:rsid w:val="006E0AFF"/>
    <w:rsid w:val="006E0B21"/>
    <w:rsid w:val="006E0EB7"/>
    <w:rsid w:val="006E171B"/>
    <w:rsid w:val="006E1A8F"/>
    <w:rsid w:val="006E1B99"/>
    <w:rsid w:val="006E2460"/>
    <w:rsid w:val="006E24C1"/>
    <w:rsid w:val="006E2C6D"/>
    <w:rsid w:val="006E32B2"/>
    <w:rsid w:val="006E32F2"/>
    <w:rsid w:val="006E3320"/>
    <w:rsid w:val="006E33D2"/>
    <w:rsid w:val="006E374B"/>
    <w:rsid w:val="006E3B50"/>
    <w:rsid w:val="006E44D3"/>
    <w:rsid w:val="006E4705"/>
    <w:rsid w:val="006E470D"/>
    <w:rsid w:val="006E49DF"/>
    <w:rsid w:val="006E4BC0"/>
    <w:rsid w:val="006E4E81"/>
    <w:rsid w:val="006E579B"/>
    <w:rsid w:val="006E58CF"/>
    <w:rsid w:val="006E6241"/>
    <w:rsid w:val="006E645F"/>
    <w:rsid w:val="006E69FD"/>
    <w:rsid w:val="006E6F3D"/>
    <w:rsid w:val="006F04B6"/>
    <w:rsid w:val="006F067D"/>
    <w:rsid w:val="006F06F1"/>
    <w:rsid w:val="006F117D"/>
    <w:rsid w:val="006F1195"/>
    <w:rsid w:val="006F1200"/>
    <w:rsid w:val="006F13F3"/>
    <w:rsid w:val="006F1DBD"/>
    <w:rsid w:val="006F1E00"/>
    <w:rsid w:val="006F215C"/>
    <w:rsid w:val="006F253F"/>
    <w:rsid w:val="006F301F"/>
    <w:rsid w:val="006F3419"/>
    <w:rsid w:val="006F392A"/>
    <w:rsid w:val="006F3B63"/>
    <w:rsid w:val="006F48EA"/>
    <w:rsid w:val="006F4E18"/>
    <w:rsid w:val="006F4F6A"/>
    <w:rsid w:val="006F51E0"/>
    <w:rsid w:val="006F5682"/>
    <w:rsid w:val="006F572D"/>
    <w:rsid w:val="006F5820"/>
    <w:rsid w:val="006F5847"/>
    <w:rsid w:val="006F5B1A"/>
    <w:rsid w:val="006F5F76"/>
    <w:rsid w:val="006F6790"/>
    <w:rsid w:val="006F6868"/>
    <w:rsid w:val="006F707D"/>
    <w:rsid w:val="006F7482"/>
    <w:rsid w:val="006F7ADB"/>
    <w:rsid w:val="00700821"/>
    <w:rsid w:val="00700FEB"/>
    <w:rsid w:val="007010A7"/>
    <w:rsid w:val="007011D1"/>
    <w:rsid w:val="007011D8"/>
    <w:rsid w:val="00702723"/>
    <w:rsid w:val="00702788"/>
    <w:rsid w:val="0070292C"/>
    <w:rsid w:val="00702BCA"/>
    <w:rsid w:val="0070303A"/>
    <w:rsid w:val="0070328F"/>
    <w:rsid w:val="007038ED"/>
    <w:rsid w:val="00704346"/>
    <w:rsid w:val="00704404"/>
    <w:rsid w:val="00704464"/>
    <w:rsid w:val="00704527"/>
    <w:rsid w:val="00704894"/>
    <w:rsid w:val="0070522E"/>
    <w:rsid w:val="00705BD7"/>
    <w:rsid w:val="00706130"/>
    <w:rsid w:val="007061EC"/>
    <w:rsid w:val="00706461"/>
    <w:rsid w:val="007068C5"/>
    <w:rsid w:val="00706995"/>
    <w:rsid w:val="00706C3A"/>
    <w:rsid w:val="00706E1E"/>
    <w:rsid w:val="007071D4"/>
    <w:rsid w:val="0070728F"/>
    <w:rsid w:val="00707C37"/>
    <w:rsid w:val="00707DF8"/>
    <w:rsid w:val="00710164"/>
    <w:rsid w:val="00710167"/>
    <w:rsid w:val="0071054F"/>
    <w:rsid w:val="00710595"/>
    <w:rsid w:val="00710870"/>
    <w:rsid w:val="007110B3"/>
    <w:rsid w:val="00711A27"/>
    <w:rsid w:val="00712020"/>
    <w:rsid w:val="00712026"/>
    <w:rsid w:val="007121C0"/>
    <w:rsid w:val="00712638"/>
    <w:rsid w:val="0071276A"/>
    <w:rsid w:val="007127A9"/>
    <w:rsid w:val="00712B22"/>
    <w:rsid w:val="00712D93"/>
    <w:rsid w:val="007134CD"/>
    <w:rsid w:val="00713996"/>
    <w:rsid w:val="007139BF"/>
    <w:rsid w:val="00713C11"/>
    <w:rsid w:val="00714355"/>
    <w:rsid w:val="00714406"/>
    <w:rsid w:val="00714A38"/>
    <w:rsid w:val="00714A85"/>
    <w:rsid w:val="00714B10"/>
    <w:rsid w:val="00714B64"/>
    <w:rsid w:val="00714BA7"/>
    <w:rsid w:val="00714DBE"/>
    <w:rsid w:val="00714E26"/>
    <w:rsid w:val="00714F03"/>
    <w:rsid w:val="00715C06"/>
    <w:rsid w:val="007166F7"/>
    <w:rsid w:val="00716D4E"/>
    <w:rsid w:val="0071717E"/>
    <w:rsid w:val="0071735C"/>
    <w:rsid w:val="0071773B"/>
    <w:rsid w:val="00717763"/>
    <w:rsid w:val="00720A2C"/>
    <w:rsid w:val="00720B85"/>
    <w:rsid w:val="00720C22"/>
    <w:rsid w:val="00720C6E"/>
    <w:rsid w:val="00720E58"/>
    <w:rsid w:val="00720E79"/>
    <w:rsid w:val="00720F9E"/>
    <w:rsid w:val="00721370"/>
    <w:rsid w:val="00722BE6"/>
    <w:rsid w:val="00722CD9"/>
    <w:rsid w:val="00722DC9"/>
    <w:rsid w:val="00722EF9"/>
    <w:rsid w:val="007232F1"/>
    <w:rsid w:val="00723F60"/>
    <w:rsid w:val="0072406F"/>
    <w:rsid w:val="0072454A"/>
    <w:rsid w:val="007245B1"/>
    <w:rsid w:val="00724952"/>
    <w:rsid w:val="00724CD4"/>
    <w:rsid w:val="00724CFE"/>
    <w:rsid w:val="0072502E"/>
    <w:rsid w:val="00725CA6"/>
    <w:rsid w:val="00725D1A"/>
    <w:rsid w:val="00725DF3"/>
    <w:rsid w:val="00725F4D"/>
    <w:rsid w:val="00726B7D"/>
    <w:rsid w:val="00727285"/>
    <w:rsid w:val="00727380"/>
    <w:rsid w:val="00727672"/>
    <w:rsid w:val="00727D91"/>
    <w:rsid w:val="00727E44"/>
    <w:rsid w:val="00730152"/>
    <w:rsid w:val="007301B7"/>
    <w:rsid w:val="0073071A"/>
    <w:rsid w:val="00730DD2"/>
    <w:rsid w:val="00730E03"/>
    <w:rsid w:val="007310E4"/>
    <w:rsid w:val="00731129"/>
    <w:rsid w:val="007313F9"/>
    <w:rsid w:val="0073190F"/>
    <w:rsid w:val="00731D9E"/>
    <w:rsid w:val="007321DA"/>
    <w:rsid w:val="00732732"/>
    <w:rsid w:val="007330AB"/>
    <w:rsid w:val="0073397C"/>
    <w:rsid w:val="00733F0C"/>
    <w:rsid w:val="00734051"/>
    <w:rsid w:val="007341BF"/>
    <w:rsid w:val="00734519"/>
    <w:rsid w:val="0073458B"/>
    <w:rsid w:val="00734B84"/>
    <w:rsid w:val="00735D2A"/>
    <w:rsid w:val="00735EBF"/>
    <w:rsid w:val="007365ED"/>
    <w:rsid w:val="00736709"/>
    <w:rsid w:val="00736927"/>
    <w:rsid w:val="007373D2"/>
    <w:rsid w:val="0073779C"/>
    <w:rsid w:val="00737A4B"/>
    <w:rsid w:val="00737FC3"/>
    <w:rsid w:val="00740008"/>
    <w:rsid w:val="007408EF"/>
    <w:rsid w:val="00741355"/>
    <w:rsid w:val="00741C56"/>
    <w:rsid w:val="00741C83"/>
    <w:rsid w:val="00741E9A"/>
    <w:rsid w:val="00742891"/>
    <w:rsid w:val="00742977"/>
    <w:rsid w:val="00742C3D"/>
    <w:rsid w:val="00742DAD"/>
    <w:rsid w:val="00743455"/>
    <w:rsid w:val="007435B8"/>
    <w:rsid w:val="007435EC"/>
    <w:rsid w:val="007444AE"/>
    <w:rsid w:val="007447C6"/>
    <w:rsid w:val="007449FE"/>
    <w:rsid w:val="00744CEC"/>
    <w:rsid w:val="00745097"/>
    <w:rsid w:val="0074556A"/>
    <w:rsid w:val="007457BC"/>
    <w:rsid w:val="00745A05"/>
    <w:rsid w:val="00745F8E"/>
    <w:rsid w:val="00746452"/>
    <w:rsid w:val="00746564"/>
    <w:rsid w:val="00746721"/>
    <w:rsid w:val="00747741"/>
    <w:rsid w:val="00747C00"/>
    <w:rsid w:val="007505F4"/>
    <w:rsid w:val="00750979"/>
    <w:rsid w:val="00751313"/>
    <w:rsid w:val="007514AA"/>
    <w:rsid w:val="00751760"/>
    <w:rsid w:val="007518C9"/>
    <w:rsid w:val="0075218A"/>
    <w:rsid w:val="00752238"/>
    <w:rsid w:val="00752DE0"/>
    <w:rsid w:val="00752E14"/>
    <w:rsid w:val="007533FD"/>
    <w:rsid w:val="00753DA5"/>
    <w:rsid w:val="00754824"/>
    <w:rsid w:val="00754E53"/>
    <w:rsid w:val="0075502B"/>
    <w:rsid w:val="0075529E"/>
    <w:rsid w:val="00755633"/>
    <w:rsid w:val="00755639"/>
    <w:rsid w:val="00755B6F"/>
    <w:rsid w:val="00756A17"/>
    <w:rsid w:val="00756B41"/>
    <w:rsid w:val="00757624"/>
    <w:rsid w:val="007576EC"/>
    <w:rsid w:val="00757957"/>
    <w:rsid w:val="00760978"/>
    <w:rsid w:val="007609FD"/>
    <w:rsid w:val="00760D42"/>
    <w:rsid w:val="00761C5E"/>
    <w:rsid w:val="00761E24"/>
    <w:rsid w:val="00762034"/>
    <w:rsid w:val="0076236A"/>
    <w:rsid w:val="007623B0"/>
    <w:rsid w:val="00762A7D"/>
    <w:rsid w:val="00763020"/>
    <w:rsid w:val="0076392A"/>
    <w:rsid w:val="007639E2"/>
    <w:rsid w:val="00763B9E"/>
    <w:rsid w:val="0076429C"/>
    <w:rsid w:val="00764588"/>
    <w:rsid w:val="007648FE"/>
    <w:rsid w:val="00764B39"/>
    <w:rsid w:val="00764B90"/>
    <w:rsid w:val="007662CC"/>
    <w:rsid w:val="007663A9"/>
    <w:rsid w:val="007664EA"/>
    <w:rsid w:val="007667C4"/>
    <w:rsid w:val="007670FC"/>
    <w:rsid w:val="00767282"/>
    <w:rsid w:val="007678B9"/>
    <w:rsid w:val="00767DDD"/>
    <w:rsid w:val="00767F7F"/>
    <w:rsid w:val="007703EA"/>
    <w:rsid w:val="00770610"/>
    <w:rsid w:val="00770875"/>
    <w:rsid w:val="00770A2A"/>
    <w:rsid w:val="00770C49"/>
    <w:rsid w:val="00770D1B"/>
    <w:rsid w:val="007711D3"/>
    <w:rsid w:val="0077130E"/>
    <w:rsid w:val="007713D7"/>
    <w:rsid w:val="00771BF6"/>
    <w:rsid w:val="0077249A"/>
    <w:rsid w:val="0077262C"/>
    <w:rsid w:val="00772A29"/>
    <w:rsid w:val="00772E8D"/>
    <w:rsid w:val="00773B3E"/>
    <w:rsid w:val="00773E65"/>
    <w:rsid w:val="00773E8E"/>
    <w:rsid w:val="00773EE9"/>
    <w:rsid w:val="007741B0"/>
    <w:rsid w:val="007745D3"/>
    <w:rsid w:val="007746DC"/>
    <w:rsid w:val="00774A6A"/>
    <w:rsid w:val="0077558B"/>
    <w:rsid w:val="007756E4"/>
    <w:rsid w:val="00775865"/>
    <w:rsid w:val="00775ED1"/>
    <w:rsid w:val="00776667"/>
    <w:rsid w:val="00776874"/>
    <w:rsid w:val="0077726C"/>
    <w:rsid w:val="00777AAB"/>
    <w:rsid w:val="00780108"/>
    <w:rsid w:val="007802D3"/>
    <w:rsid w:val="007805C9"/>
    <w:rsid w:val="007807DC"/>
    <w:rsid w:val="007809C9"/>
    <w:rsid w:val="00780FF9"/>
    <w:rsid w:val="00781882"/>
    <w:rsid w:val="007820B4"/>
    <w:rsid w:val="0078285C"/>
    <w:rsid w:val="007829A6"/>
    <w:rsid w:val="00782B30"/>
    <w:rsid w:val="00782FEE"/>
    <w:rsid w:val="00783A36"/>
    <w:rsid w:val="00783A44"/>
    <w:rsid w:val="00783E2E"/>
    <w:rsid w:val="007840C7"/>
    <w:rsid w:val="007845D4"/>
    <w:rsid w:val="007846EE"/>
    <w:rsid w:val="00784DF0"/>
    <w:rsid w:val="00785A38"/>
    <w:rsid w:val="00785A9B"/>
    <w:rsid w:val="00785C2A"/>
    <w:rsid w:val="007862A9"/>
    <w:rsid w:val="0078668F"/>
    <w:rsid w:val="00786771"/>
    <w:rsid w:val="007867F3"/>
    <w:rsid w:val="00786815"/>
    <w:rsid w:val="007868C8"/>
    <w:rsid w:val="00786AC9"/>
    <w:rsid w:val="0078700E"/>
    <w:rsid w:val="00787339"/>
    <w:rsid w:val="0078753E"/>
    <w:rsid w:val="00787A29"/>
    <w:rsid w:val="00787B59"/>
    <w:rsid w:val="00787F86"/>
    <w:rsid w:val="007900A9"/>
    <w:rsid w:val="00790C1F"/>
    <w:rsid w:val="007910C3"/>
    <w:rsid w:val="00791110"/>
    <w:rsid w:val="0079124F"/>
    <w:rsid w:val="00791250"/>
    <w:rsid w:val="0079150D"/>
    <w:rsid w:val="00791715"/>
    <w:rsid w:val="00791DE1"/>
    <w:rsid w:val="00792419"/>
    <w:rsid w:val="00792A1D"/>
    <w:rsid w:val="00793181"/>
    <w:rsid w:val="0079319C"/>
    <w:rsid w:val="007936BD"/>
    <w:rsid w:val="007936C1"/>
    <w:rsid w:val="00793AE6"/>
    <w:rsid w:val="00793D0B"/>
    <w:rsid w:val="00793D45"/>
    <w:rsid w:val="00794BBF"/>
    <w:rsid w:val="00795581"/>
    <w:rsid w:val="00795E20"/>
    <w:rsid w:val="00795FA6"/>
    <w:rsid w:val="007965A4"/>
    <w:rsid w:val="00796787"/>
    <w:rsid w:val="007975BD"/>
    <w:rsid w:val="007979AB"/>
    <w:rsid w:val="007979ED"/>
    <w:rsid w:val="00797B7E"/>
    <w:rsid w:val="00797CCB"/>
    <w:rsid w:val="007A05A2"/>
    <w:rsid w:val="007A0715"/>
    <w:rsid w:val="007A0833"/>
    <w:rsid w:val="007A0DFC"/>
    <w:rsid w:val="007A10D6"/>
    <w:rsid w:val="007A12EE"/>
    <w:rsid w:val="007A138C"/>
    <w:rsid w:val="007A1834"/>
    <w:rsid w:val="007A1856"/>
    <w:rsid w:val="007A1E52"/>
    <w:rsid w:val="007A2497"/>
    <w:rsid w:val="007A2A4D"/>
    <w:rsid w:val="007A2A5A"/>
    <w:rsid w:val="007A2B18"/>
    <w:rsid w:val="007A2B58"/>
    <w:rsid w:val="007A2BF1"/>
    <w:rsid w:val="007A31B2"/>
    <w:rsid w:val="007A34BD"/>
    <w:rsid w:val="007A3629"/>
    <w:rsid w:val="007A385C"/>
    <w:rsid w:val="007A38F5"/>
    <w:rsid w:val="007A3D24"/>
    <w:rsid w:val="007A4860"/>
    <w:rsid w:val="007A4CAF"/>
    <w:rsid w:val="007A4F7B"/>
    <w:rsid w:val="007A5054"/>
    <w:rsid w:val="007A522E"/>
    <w:rsid w:val="007A57F9"/>
    <w:rsid w:val="007A61E4"/>
    <w:rsid w:val="007A6668"/>
    <w:rsid w:val="007A704A"/>
    <w:rsid w:val="007A7242"/>
    <w:rsid w:val="007B0222"/>
    <w:rsid w:val="007B036E"/>
    <w:rsid w:val="007B0851"/>
    <w:rsid w:val="007B1253"/>
    <w:rsid w:val="007B12B0"/>
    <w:rsid w:val="007B1392"/>
    <w:rsid w:val="007B1785"/>
    <w:rsid w:val="007B1DA8"/>
    <w:rsid w:val="007B215A"/>
    <w:rsid w:val="007B22DC"/>
    <w:rsid w:val="007B230A"/>
    <w:rsid w:val="007B24F0"/>
    <w:rsid w:val="007B2A73"/>
    <w:rsid w:val="007B34DC"/>
    <w:rsid w:val="007B3A4D"/>
    <w:rsid w:val="007B3A98"/>
    <w:rsid w:val="007B3C57"/>
    <w:rsid w:val="007B4008"/>
    <w:rsid w:val="007B46D3"/>
    <w:rsid w:val="007B49C4"/>
    <w:rsid w:val="007B4D74"/>
    <w:rsid w:val="007B4DC6"/>
    <w:rsid w:val="007B5132"/>
    <w:rsid w:val="007B5734"/>
    <w:rsid w:val="007B69B8"/>
    <w:rsid w:val="007B69E8"/>
    <w:rsid w:val="007B6C17"/>
    <w:rsid w:val="007B6CF7"/>
    <w:rsid w:val="007B743C"/>
    <w:rsid w:val="007C008C"/>
    <w:rsid w:val="007C009E"/>
    <w:rsid w:val="007C0165"/>
    <w:rsid w:val="007C048B"/>
    <w:rsid w:val="007C0508"/>
    <w:rsid w:val="007C057E"/>
    <w:rsid w:val="007C0B4B"/>
    <w:rsid w:val="007C1541"/>
    <w:rsid w:val="007C19DF"/>
    <w:rsid w:val="007C25F8"/>
    <w:rsid w:val="007C2F98"/>
    <w:rsid w:val="007C3637"/>
    <w:rsid w:val="007C4483"/>
    <w:rsid w:val="007C44DC"/>
    <w:rsid w:val="007C4545"/>
    <w:rsid w:val="007C45F7"/>
    <w:rsid w:val="007C46D1"/>
    <w:rsid w:val="007C47C2"/>
    <w:rsid w:val="007C4822"/>
    <w:rsid w:val="007C491B"/>
    <w:rsid w:val="007C4DEF"/>
    <w:rsid w:val="007C5294"/>
    <w:rsid w:val="007C5468"/>
    <w:rsid w:val="007C55F1"/>
    <w:rsid w:val="007C571D"/>
    <w:rsid w:val="007C58AB"/>
    <w:rsid w:val="007C5A29"/>
    <w:rsid w:val="007C5BF3"/>
    <w:rsid w:val="007C6148"/>
    <w:rsid w:val="007C6900"/>
    <w:rsid w:val="007C69A9"/>
    <w:rsid w:val="007C6A52"/>
    <w:rsid w:val="007C6C60"/>
    <w:rsid w:val="007C6D07"/>
    <w:rsid w:val="007C7039"/>
    <w:rsid w:val="007C745C"/>
    <w:rsid w:val="007C7578"/>
    <w:rsid w:val="007C7605"/>
    <w:rsid w:val="007C7C53"/>
    <w:rsid w:val="007C7E7C"/>
    <w:rsid w:val="007C7F4C"/>
    <w:rsid w:val="007D013E"/>
    <w:rsid w:val="007D051A"/>
    <w:rsid w:val="007D065E"/>
    <w:rsid w:val="007D0919"/>
    <w:rsid w:val="007D0940"/>
    <w:rsid w:val="007D0A94"/>
    <w:rsid w:val="007D0B22"/>
    <w:rsid w:val="007D0BD1"/>
    <w:rsid w:val="007D0BD6"/>
    <w:rsid w:val="007D0D5B"/>
    <w:rsid w:val="007D1258"/>
    <w:rsid w:val="007D143D"/>
    <w:rsid w:val="007D1727"/>
    <w:rsid w:val="007D1B92"/>
    <w:rsid w:val="007D240D"/>
    <w:rsid w:val="007D25B9"/>
    <w:rsid w:val="007D261C"/>
    <w:rsid w:val="007D29AD"/>
    <w:rsid w:val="007D2BD3"/>
    <w:rsid w:val="007D2BE8"/>
    <w:rsid w:val="007D3066"/>
    <w:rsid w:val="007D36F6"/>
    <w:rsid w:val="007D421B"/>
    <w:rsid w:val="007D4490"/>
    <w:rsid w:val="007D4579"/>
    <w:rsid w:val="007D51EB"/>
    <w:rsid w:val="007D58BB"/>
    <w:rsid w:val="007D6345"/>
    <w:rsid w:val="007D6835"/>
    <w:rsid w:val="007D6A93"/>
    <w:rsid w:val="007D7CDE"/>
    <w:rsid w:val="007D7DC7"/>
    <w:rsid w:val="007D7EFB"/>
    <w:rsid w:val="007E01AF"/>
    <w:rsid w:val="007E0772"/>
    <w:rsid w:val="007E0844"/>
    <w:rsid w:val="007E0D31"/>
    <w:rsid w:val="007E0E04"/>
    <w:rsid w:val="007E0EF9"/>
    <w:rsid w:val="007E1FC2"/>
    <w:rsid w:val="007E21D9"/>
    <w:rsid w:val="007E23F6"/>
    <w:rsid w:val="007E24E3"/>
    <w:rsid w:val="007E2BDD"/>
    <w:rsid w:val="007E2C38"/>
    <w:rsid w:val="007E3313"/>
    <w:rsid w:val="007E34C5"/>
    <w:rsid w:val="007E3CF9"/>
    <w:rsid w:val="007E3DD9"/>
    <w:rsid w:val="007E45CA"/>
    <w:rsid w:val="007E48C0"/>
    <w:rsid w:val="007E4967"/>
    <w:rsid w:val="007E4DA9"/>
    <w:rsid w:val="007E5885"/>
    <w:rsid w:val="007E5A79"/>
    <w:rsid w:val="007E5A9D"/>
    <w:rsid w:val="007E5DE7"/>
    <w:rsid w:val="007E61B7"/>
    <w:rsid w:val="007E64FF"/>
    <w:rsid w:val="007E6910"/>
    <w:rsid w:val="007E69EB"/>
    <w:rsid w:val="007E6A29"/>
    <w:rsid w:val="007E6F62"/>
    <w:rsid w:val="007E6FEA"/>
    <w:rsid w:val="007E77B1"/>
    <w:rsid w:val="007E7C7B"/>
    <w:rsid w:val="007E7DB4"/>
    <w:rsid w:val="007E7E0F"/>
    <w:rsid w:val="007E7F8F"/>
    <w:rsid w:val="007F015E"/>
    <w:rsid w:val="007F0DF9"/>
    <w:rsid w:val="007F1160"/>
    <w:rsid w:val="007F1717"/>
    <w:rsid w:val="007F19B9"/>
    <w:rsid w:val="007F21B0"/>
    <w:rsid w:val="007F23DE"/>
    <w:rsid w:val="007F2773"/>
    <w:rsid w:val="007F2D30"/>
    <w:rsid w:val="007F2DE9"/>
    <w:rsid w:val="007F2E07"/>
    <w:rsid w:val="007F2FDB"/>
    <w:rsid w:val="007F341B"/>
    <w:rsid w:val="007F34E4"/>
    <w:rsid w:val="007F34E7"/>
    <w:rsid w:val="007F3550"/>
    <w:rsid w:val="007F3682"/>
    <w:rsid w:val="007F3AA2"/>
    <w:rsid w:val="007F3B45"/>
    <w:rsid w:val="007F3E3E"/>
    <w:rsid w:val="007F3E43"/>
    <w:rsid w:val="007F4A9E"/>
    <w:rsid w:val="007F4ABC"/>
    <w:rsid w:val="007F4D45"/>
    <w:rsid w:val="007F510F"/>
    <w:rsid w:val="007F53B9"/>
    <w:rsid w:val="007F545B"/>
    <w:rsid w:val="007F59B2"/>
    <w:rsid w:val="007F6607"/>
    <w:rsid w:val="007F7368"/>
    <w:rsid w:val="007F7865"/>
    <w:rsid w:val="007F7D7E"/>
    <w:rsid w:val="007F7E6C"/>
    <w:rsid w:val="007F7E9E"/>
    <w:rsid w:val="007F7FB3"/>
    <w:rsid w:val="0080026A"/>
    <w:rsid w:val="00800340"/>
    <w:rsid w:val="00800549"/>
    <w:rsid w:val="00800953"/>
    <w:rsid w:val="00801255"/>
    <w:rsid w:val="0080197B"/>
    <w:rsid w:val="00801C1F"/>
    <w:rsid w:val="00801C4F"/>
    <w:rsid w:val="008021D3"/>
    <w:rsid w:val="0080226F"/>
    <w:rsid w:val="00802849"/>
    <w:rsid w:val="00802971"/>
    <w:rsid w:val="008038E3"/>
    <w:rsid w:val="008038F6"/>
    <w:rsid w:val="008040C5"/>
    <w:rsid w:val="00804558"/>
    <w:rsid w:val="00804712"/>
    <w:rsid w:val="00804734"/>
    <w:rsid w:val="008047AE"/>
    <w:rsid w:val="00804B21"/>
    <w:rsid w:val="00804CF4"/>
    <w:rsid w:val="00805483"/>
    <w:rsid w:val="008054D1"/>
    <w:rsid w:val="0080585D"/>
    <w:rsid w:val="00805D6F"/>
    <w:rsid w:val="00806273"/>
    <w:rsid w:val="00806495"/>
    <w:rsid w:val="0080661F"/>
    <w:rsid w:val="008067A6"/>
    <w:rsid w:val="00806EFD"/>
    <w:rsid w:val="00806F98"/>
    <w:rsid w:val="00807074"/>
    <w:rsid w:val="00807E43"/>
    <w:rsid w:val="00807F69"/>
    <w:rsid w:val="00810368"/>
    <w:rsid w:val="00810536"/>
    <w:rsid w:val="008108B5"/>
    <w:rsid w:val="00810BE7"/>
    <w:rsid w:val="00811336"/>
    <w:rsid w:val="0081165D"/>
    <w:rsid w:val="00811A6B"/>
    <w:rsid w:val="00811B28"/>
    <w:rsid w:val="0081270F"/>
    <w:rsid w:val="00812862"/>
    <w:rsid w:val="00812A05"/>
    <w:rsid w:val="00812A7A"/>
    <w:rsid w:val="00812B10"/>
    <w:rsid w:val="00812DC8"/>
    <w:rsid w:val="0081362B"/>
    <w:rsid w:val="0081450B"/>
    <w:rsid w:val="0081467F"/>
    <w:rsid w:val="0081492C"/>
    <w:rsid w:val="00814994"/>
    <w:rsid w:val="00815251"/>
    <w:rsid w:val="00815339"/>
    <w:rsid w:val="0081557B"/>
    <w:rsid w:val="0081591F"/>
    <w:rsid w:val="00815A99"/>
    <w:rsid w:val="00815E5B"/>
    <w:rsid w:val="00815FAF"/>
    <w:rsid w:val="008160D1"/>
    <w:rsid w:val="008162B3"/>
    <w:rsid w:val="0081640D"/>
    <w:rsid w:val="00816829"/>
    <w:rsid w:val="0081687A"/>
    <w:rsid w:val="008169A1"/>
    <w:rsid w:val="00816CD9"/>
    <w:rsid w:val="00817119"/>
    <w:rsid w:val="00817879"/>
    <w:rsid w:val="00817988"/>
    <w:rsid w:val="00820160"/>
    <w:rsid w:val="0082022B"/>
    <w:rsid w:val="0082041D"/>
    <w:rsid w:val="00820C3D"/>
    <w:rsid w:val="00820E0E"/>
    <w:rsid w:val="00821237"/>
    <w:rsid w:val="00821340"/>
    <w:rsid w:val="008216DA"/>
    <w:rsid w:val="008217C3"/>
    <w:rsid w:val="00821868"/>
    <w:rsid w:val="008219B8"/>
    <w:rsid w:val="00821B77"/>
    <w:rsid w:val="00821ECA"/>
    <w:rsid w:val="00822414"/>
    <w:rsid w:val="00822C0D"/>
    <w:rsid w:val="00822CB9"/>
    <w:rsid w:val="00822E2C"/>
    <w:rsid w:val="00823116"/>
    <w:rsid w:val="0082350E"/>
    <w:rsid w:val="00823594"/>
    <w:rsid w:val="00823658"/>
    <w:rsid w:val="008239BF"/>
    <w:rsid w:val="00823B36"/>
    <w:rsid w:val="0082488C"/>
    <w:rsid w:val="00824D0B"/>
    <w:rsid w:val="00824DBB"/>
    <w:rsid w:val="008251E7"/>
    <w:rsid w:val="00825417"/>
    <w:rsid w:val="008257E8"/>
    <w:rsid w:val="008262BC"/>
    <w:rsid w:val="008266A2"/>
    <w:rsid w:val="008267AE"/>
    <w:rsid w:val="00826883"/>
    <w:rsid w:val="008271AC"/>
    <w:rsid w:val="0083030A"/>
    <w:rsid w:val="00830B33"/>
    <w:rsid w:val="00831018"/>
    <w:rsid w:val="0083118A"/>
    <w:rsid w:val="008312AA"/>
    <w:rsid w:val="00831784"/>
    <w:rsid w:val="00831D02"/>
    <w:rsid w:val="00832727"/>
    <w:rsid w:val="00832F9F"/>
    <w:rsid w:val="008337C1"/>
    <w:rsid w:val="00833DF1"/>
    <w:rsid w:val="0083415A"/>
    <w:rsid w:val="0083451D"/>
    <w:rsid w:val="008347DA"/>
    <w:rsid w:val="00834F23"/>
    <w:rsid w:val="00835303"/>
    <w:rsid w:val="008353B6"/>
    <w:rsid w:val="00835696"/>
    <w:rsid w:val="00835ADD"/>
    <w:rsid w:val="0083616E"/>
    <w:rsid w:val="00836A67"/>
    <w:rsid w:val="00836CEB"/>
    <w:rsid w:val="00836F42"/>
    <w:rsid w:val="00840C84"/>
    <w:rsid w:val="00840EAF"/>
    <w:rsid w:val="008414FF"/>
    <w:rsid w:val="008416BF"/>
    <w:rsid w:val="008416FD"/>
    <w:rsid w:val="0084188F"/>
    <w:rsid w:val="00841946"/>
    <w:rsid w:val="008420A3"/>
    <w:rsid w:val="00842611"/>
    <w:rsid w:val="00842659"/>
    <w:rsid w:val="0084293A"/>
    <w:rsid w:val="00842C44"/>
    <w:rsid w:val="0084354C"/>
    <w:rsid w:val="0084375D"/>
    <w:rsid w:val="008440D8"/>
    <w:rsid w:val="0084416F"/>
    <w:rsid w:val="00844462"/>
    <w:rsid w:val="008449FE"/>
    <w:rsid w:val="00844A62"/>
    <w:rsid w:val="00844D8D"/>
    <w:rsid w:val="00845515"/>
    <w:rsid w:val="00845520"/>
    <w:rsid w:val="008459B7"/>
    <w:rsid w:val="00845C2B"/>
    <w:rsid w:val="00845FC4"/>
    <w:rsid w:val="008461B0"/>
    <w:rsid w:val="00846859"/>
    <w:rsid w:val="00846B10"/>
    <w:rsid w:val="00846C17"/>
    <w:rsid w:val="00846C9F"/>
    <w:rsid w:val="00846D16"/>
    <w:rsid w:val="00846F4C"/>
    <w:rsid w:val="0085044B"/>
    <w:rsid w:val="00850E2D"/>
    <w:rsid w:val="00850EE1"/>
    <w:rsid w:val="0085165B"/>
    <w:rsid w:val="0085179C"/>
    <w:rsid w:val="008518FA"/>
    <w:rsid w:val="00851903"/>
    <w:rsid w:val="008519E8"/>
    <w:rsid w:val="00851B3F"/>
    <w:rsid w:val="00851DCB"/>
    <w:rsid w:val="00851E0C"/>
    <w:rsid w:val="00851F5F"/>
    <w:rsid w:val="00851F8A"/>
    <w:rsid w:val="00852142"/>
    <w:rsid w:val="008523AA"/>
    <w:rsid w:val="0085278F"/>
    <w:rsid w:val="008528CF"/>
    <w:rsid w:val="00852A3A"/>
    <w:rsid w:val="00852BA9"/>
    <w:rsid w:val="00853510"/>
    <w:rsid w:val="00853E5B"/>
    <w:rsid w:val="00854029"/>
    <w:rsid w:val="00854123"/>
    <w:rsid w:val="0085429D"/>
    <w:rsid w:val="008542D1"/>
    <w:rsid w:val="00854465"/>
    <w:rsid w:val="008544BD"/>
    <w:rsid w:val="00854946"/>
    <w:rsid w:val="00854976"/>
    <w:rsid w:val="00854B62"/>
    <w:rsid w:val="00854B77"/>
    <w:rsid w:val="00854E58"/>
    <w:rsid w:val="00854FE5"/>
    <w:rsid w:val="008558ED"/>
    <w:rsid w:val="00855CFC"/>
    <w:rsid w:val="00855FD5"/>
    <w:rsid w:val="00856049"/>
    <w:rsid w:val="0085632A"/>
    <w:rsid w:val="008568BB"/>
    <w:rsid w:val="00856E96"/>
    <w:rsid w:val="00856ECE"/>
    <w:rsid w:val="00857822"/>
    <w:rsid w:val="00857C93"/>
    <w:rsid w:val="00860B42"/>
    <w:rsid w:val="00860D51"/>
    <w:rsid w:val="008611C1"/>
    <w:rsid w:val="0086151A"/>
    <w:rsid w:val="0086173C"/>
    <w:rsid w:val="0086187E"/>
    <w:rsid w:val="00861DA4"/>
    <w:rsid w:val="00861DC2"/>
    <w:rsid w:val="00861EC4"/>
    <w:rsid w:val="00862330"/>
    <w:rsid w:val="0086254A"/>
    <w:rsid w:val="0086264B"/>
    <w:rsid w:val="008626E9"/>
    <w:rsid w:val="008626EB"/>
    <w:rsid w:val="00862EFD"/>
    <w:rsid w:val="008634ED"/>
    <w:rsid w:val="008638FB"/>
    <w:rsid w:val="0086444C"/>
    <w:rsid w:val="008644B1"/>
    <w:rsid w:val="008646F3"/>
    <w:rsid w:val="00864768"/>
    <w:rsid w:val="00864B19"/>
    <w:rsid w:val="00864F62"/>
    <w:rsid w:val="0086534E"/>
    <w:rsid w:val="008658AB"/>
    <w:rsid w:val="00865B18"/>
    <w:rsid w:val="00865D80"/>
    <w:rsid w:val="00865DAD"/>
    <w:rsid w:val="00865FCE"/>
    <w:rsid w:val="0086672E"/>
    <w:rsid w:val="00866CF2"/>
    <w:rsid w:val="008675EC"/>
    <w:rsid w:val="008676AD"/>
    <w:rsid w:val="008679CE"/>
    <w:rsid w:val="00867B12"/>
    <w:rsid w:val="00867DA7"/>
    <w:rsid w:val="0087031F"/>
    <w:rsid w:val="008705A8"/>
    <w:rsid w:val="0087068E"/>
    <w:rsid w:val="0087185F"/>
    <w:rsid w:val="008718FC"/>
    <w:rsid w:val="00871CC2"/>
    <w:rsid w:val="00871F4F"/>
    <w:rsid w:val="00871F95"/>
    <w:rsid w:val="0087200D"/>
    <w:rsid w:val="00872131"/>
    <w:rsid w:val="008723B8"/>
    <w:rsid w:val="00872434"/>
    <w:rsid w:val="008725F5"/>
    <w:rsid w:val="0087282A"/>
    <w:rsid w:val="00872A4A"/>
    <w:rsid w:val="00872D42"/>
    <w:rsid w:val="00873147"/>
    <w:rsid w:val="0087357A"/>
    <w:rsid w:val="00873664"/>
    <w:rsid w:val="00873975"/>
    <w:rsid w:val="00873C1E"/>
    <w:rsid w:val="00873CD6"/>
    <w:rsid w:val="00873DE6"/>
    <w:rsid w:val="00873DF7"/>
    <w:rsid w:val="00873FBF"/>
    <w:rsid w:val="00874178"/>
    <w:rsid w:val="00874272"/>
    <w:rsid w:val="008743DF"/>
    <w:rsid w:val="00874C66"/>
    <w:rsid w:val="00874F67"/>
    <w:rsid w:val="0087579C"/>
    <w:rsid w:val="00875CC0"/>
    <w:rsid w:val="00875F4F"/>
    <w:rsid w:val="008762BC"/>
    <w:rsid w:val="008762D8"/>
    <w:rsid w:val="008767B6"/>
    <w:rsid w:val="008771F3"/>
    <w:rsid w:val="008772D9"/>
    <w:rsid w:val="00877A05"/>
    <w:rsid w:val="00877A58"/>
    <w:rsid w:val="00877B29"/>
    <w:rsid w:val="00880585"/>
    <w:rsid w:val="008808B9"/>
    <w:rsid w:val="00880B30"/>
    <w:rsid w:val="00880B6E"/>
    <w:rsid w:val="00880C73"/>
    <w:rsid w:val="00880F1D"/>
    <w:rsid w:val="00881147"/>
    <w:rsid w:val="0088172A"/>
    <w:rsid w:val="00881D54"/>
    <w:rsid w:val="00881F90"/>
    <w:rsid w:val="00882AF3"/>
    <w:rsid w:val="00882F50"/>
    <w:rsid w:val="00884487"/>
    <w:rsid w:val="00884AFE"/>
    <w:rsid w:val="00884CA5"/>
    <w:rsid w:val="008851C4"/>
    <w:rsid w:val="0088541F"/>
    <w:rsid w:val="00885696"/>
    <w:rsid w:val="0088570A"/>
    <w:rsid w:val="0088575B"/>
    <w:rsid w:val="00885A0E"/>
    <w:rsid w:val="00885A2A"/>
    <w:rsid w:val="00885E9D"/>
    <w:rsid w:val="00885FF4"/>
    <w:rsid w:val="00886080"/>
    <w:rsid w:val="0088635B"/>
    <w:rsid w:val="0088636E"/>
    <w:rsid w:val="008864A7"/>
    <w:rsid w:val="0088666A"/>
    <w:rsid w:val="0088688A"/>
    <w:rsid w:val="00886A9E"/>
    <w:rsid w:val="00886AE4"/>
    <w:rsid w:val="00886DC9"/>
    <w:rsid w:val="00886EC7"/>
    <w:rsid w:val="00887184"/>
    <w:rsid w:val="00887877"/>
    <w:rsid w:val="008879EA"/>
    <w:rsid w:val="00887FF6"/>
    <w:rsid w:val="00890139"/>
    <w:rsid w:val="0089076C"/>
    <w:rsid w:val="0089160E"/>
    <w:rsid w:val="0089162D"/>
    <w:rsid w:val="00891790"/>
    <w:rsid w:val="008921B1"/>
    <w:rsid w:val="00892687"/>
    <w:rsid w:val="00892CE5"/>
    <w:rsid w:val="00893386"/>
    <w:rsid w:val="0089351C"/>
    <w:rsid w:val="0089363C"/>
    <w:rsid w:val="00893657"/>
    <w:rsid w:val="00893671"/>
    <w:rsid w:val="00893681"/>
    <w:rsid w:val="00893BB2"/>
    <w:rsid w:val="00893C24"/>
    <w:rsid w:val="00893DF6"/>
    <w:rsid w:val="00893EA7"/>
    <w:rsid w:val="008941FB"/>
    <w:rsid w:val="00894291"/>
    <w:rsid w:val="008943D1"/>
    <w:rsid w:val="00894565"/>
    <w:rsid w:val="008950D6"/>
    <w:rsid w:val="008954C9"/>
    <w:rsid w:val="00895B46"/>
    <w:rsid w:val="00896474"/>
    <w:rsid w:val="00896DBC"/>
    <w:rsid w:val="00897677"/>
    <w:rsid w:val="00897B59"/>
    <w:rsid w:val="00897C6C"/>
    <w:rsid w:val="00897D1A"/>
    <w:rsid w:val="008A0905"/>
    <w:rsid w:val="008A0B02"/>
    <w:rsid w:val="008A0D52"/>
    <w:rsid w:val="008A0E0D"/>
    <w:rsid w:val="008A12C5"/>
    <w:rsid w:val="008A155C"/>
    <w:rsid w:val="008A180E"/>
    <w:rsid w:val="008A197C"/>
    <w:rsid w:val="008A1AA8"/>
    <w:rsid w:val="008A20DA"/>
    <w:rsid w:val="008A23D3"/>
    <w:rsid w:val="008A2545"/>
    <w:rsid w:val="008A2636"/>
    <w:rsid w:val="008A2B22"/>
    <w:rsid w:val="008A2EA5"/>
    <w:rsid w:val="008A328C"/>
    <w:rsid w:val="008A35DB"/>
    <w:rsid w:val="008A3861"/>
    <w:rsid w:val="008A3AF9"/>
    <w:rsid w:val="008A3FBE"/>
    <w:rsid w:val="008A4013"/>
    <w:rsid w:val="008A44DF"/>
    <w:rsid w:val="008A46A0"/>
    <w:rsid w:val="008A493B"/>
    <w:rsid w:val="008A4C9C"/>
    <w:rsid w:val="008A6041"/>
    <w:rsid w:val="008A6095"/>
    <w:rsid w:val="008A60F8"/>
    <w:rsid w:val="008A616C"/>
    <w:rsid w:val="008A6570"/>
    <w:rsid w:val="008A69FE"/>
    <w:rsid w:val="008A6EC7"/>
    <w:rsid w:val="008A6F36"/>
    <w:rsid w:val="008A7286"/>
    <w:rsid w:val="008A7346"/>
    <w:rsid w:val="008A7B50"/>
    <w:rsid w:val="008B00E5"/>
    <w:rsid w:val="008B0641"/>
    <w:rsid w:val="008B0EB7"/>
    <w:rsid w:val="008B138E"/>
    <w:rsid w:val="008B1782"/>
    <w:rsid w:val="008B1C78"/>
    <w:rsid w:val="008B1F87"/>
    <w:rsid w:val="008B28BD"/>
    <w:rsid w:val="008B2990"/>
    <w:rsid w:val="008B2E96"/>
    <w:rsid w:val="008B2F53"/>
    <w:rsid w:val="008B3006"/>
    <w:rsid w:val="008B3139"/>
    <w:rsid w:val="008B382E"/>
    <w:rsid w:val="008B3B50"/>
    <w:rsid w:val="008B3D47"/>
    <w:rsid w:val="008B44CB"/>
    <w:rsid w:val="008B46D2"/>
    <w:rsid w:val="008B4BCF"/>
    <w:rsid w:val="008B4FB7"/>
    <w:rsid w:val="008B504E"/>
    <w:rsid w:val="008B5253"/>
    <w:rsid w:val="008B53B8"/>
    <w:rsid w:val="008B53D8"/>
    <w:rsid w:val="008B5D7D"/>
    <w:rsid w:val="008B63BE"/>
    <w:rsid w:val="008B640E"/>
    <w:rsid w:val="008B6505"/>
    <w:rsid w:val="008B688D"/>
    <w:rsid w:val="008B698F"/>
    <w:rsid w:val="008B6A9D"/>
    <w:rsid w:val="008B6C72"/>
    <w:rsid w:val="008B70AD"/>
    <w:rsid w:val="008B70EE"/>
    <w:rsid w:val="008B715C"/>
    <w:rsid w:val="008B75B8"/>
    <w:rsid w:val="008B79A9"/>
    <w:rsid w:val="008B7EFC"/>
    <w:rsid w:val="008C07A1"/>
    <w:rsid w:val="008C088F"/>
    <w:rsid w:val="008C08EA"/>
    <w:rsid w:val="008C0BB9"/>
    <w:rsid w:val="008C0EAD"/>
    <w:rsid w:val="008C0F17"/>
    <w:rsid w:val="008C1417"/>
    <w:rsid w:val="008C1442"/>
    <w:rsid w:val="008C1693"/>
    <w:rsid w:val="008C19D9"/>
    <w:rsid w:val="008C1A5E"/>
    <w:rsid w:val="008C1A81"/>
    <w:rsid w:val="008C2865"/>
    <w:rsid w:val="008C29FE"/>
    <w:rsid w:val="008C2F99"/>
    <w:rsid w:val="008C32CA"/>
    <w:rsid w:val="008C3967"/>
    <w:rsid w:val="008C4138"/>
    <w:rsid w:val="008C431E"/>
    <w:rsid w:val="008C4942"/>
    <w:rsid w:val="008C54BD"/>
    <w:rsid w:val="008C54C4"/>
    <w:rsid w:val="008C6056"/>
    <w:rsid w:val="008C6628"/>
    <w:rsid w:val="008C6717"/>
    <w:rsid w:val="008C69C9"/>
    <w:rsid w:val="008C6E38"/>
    <w:rsid w:val="008C6F75"/>
    <w:rsid w:val="008C7C18"/>
    <w:rsid w:val="008C7CC4"/>
    <w:rsid w:val="008D047D"/>
    <w:rsid w:val="008D0B4C"/>
    <w:rsid w:val="008D14C4"/>
    <w:rsid w:val="008D1964"/>
    <w:rsid w:val="008D221A"/>
    <w:rsid w:val="008D24D6"/>
    <w:rsid w:val="008D24E1"/>
    <w:rsid w:val="008D30DF"/>
    <w:rsid w:val="008D361E"/>
    <w:rsid w:val="008D369E"/>
    <w:rsid w:val="008D3E6A"/>
    <w:rsid w:val="008D4751"/>
    <w:rsid w:val="008D4C4F"/>
    <w:rsid w:val="008D53E2"/>
    <w:rsid w:val="008D5908"/>
    <w:rsid w:val="008D5AF1"/>
    <w:rsid w:val="008D60A9"/>
    <w:rsid w:val="008D6A6E"/>
    <w:rsid w:val="008D781F"/>
    <w:rsid w:val="008D79DD"/>
    <w:rsid w:val="008D7DBE"/>
    <w:rsid w:val="008D7FB9"/>
    <w:rsid w:val="008E0035"/>
    <w:rsid w:val="008E02A0"/>
    <w:rsid w:val="008E02B7"/>
    <w:rsid w:val="008E0DF6"/>
    <w:rsid w:val="008E20BE"/>
    <w:rsid w:val="008E22AB"/>
    <w:rsid w:val="008E241B"/>
    <w:rsid w:val="008E27A1"/>
    <w:rsid w:val="008E29EC"/>
    <w:rsid w:val="008E2AC1"/>
    <w:rsid w:val="008E3096"/>
    <w:rsid w:val="008E30B6"/>
    <w:rsid w:val="008E330C"/>
    <w:rsid w:val="008E332F"/>
    <w:rsid w:val="008E35FC"/>
    <w:rsid w:val="008E381E"/>
    <w:rsid w:val="008E4114"/>
    <w:rsid w:val="008E45EA"/>
    <w:rsid w:val="008E4A1A"/>
    <w:rsid w:val="008E509C"/>
    <w:rsid w:val="008E54CA"/>
    <w:rsid w:val="008E5E01"/>
    <w:rsid w:val="008E6093"/>
    <w:rsid w:val="008E659F"/>
    <w:rsid w:val="008E681C"/>
    <w:rsid w:val="008E687D"/>
    <w:rsid w:val="008E69A3"/>
    <w:rsid w:val="008E706F"/>
    <w:rsid w:val="008E76A5"/>
    <w:rsid w:val="008E7CC9"/>
    <w:rsid w:val="008E7E4C"/>
    <w:rsid w:val="008F02A1"/>
    <w:rsid w:val="008F0E69"/>
    <w:rsid w:val="008F1212"/>
    <w:rsid w:val="008F12FF"/>
    <w:rsid w:val="008F1E55"/>
    <w:rsid w:val="008F2840"/>
    <w:rsid w:val="008F2B5F"/>
    <w:rsid w:val="008F2B79"/>
    <w:rsid w:val="008F2C3A"/>
    <w:rsid w:val="008F3A14"/>
    <w:rsid w:val="008F3D3E"/>
    <w:rsid w:val="008F3F31"/>
    <w:rsid w:val="008F4144"/>
    <w:rsid w:val="008F41B4"/>
    <w:rsid w:val="008F42A0"/>
    <w:rsid w:val="008F4655"/>
    <w:rsid w:val="008F4779"/>
    <w:rsid w:val="008F542B"/>
    <w:rsid w:val="008F5670"/>
    <w:rsid w:val="008F599F"/>
    <w:rsid w:val="008F5D6D"/>
    <w:rsid w:val="008F5F80"/>
    <w:rsid w:val="008F63DF"/>
    <w:rsid w:val="008F64E5"/>
    <w:rsid w:val="008F677E"/>
    <w:rsid w:val="008F6810"/>
    <w:rsid w:val="008F74F7"/>
    <w:rsid w:val="008F75CD"/>
    <w:rsid w:val="008F7C28"/>
    <w:rsid w:val="009002A7"/>
    <w:rsid w:val="0090034D"/>
    <w:rsid w:val="00900D91"/>
    <w:rsid w:val="00900EC7"/>
    <w:rsid w:val="00900FFC"/>
    <w:rsid w:val="0090114C"/>
    <w:rsid w:val="009011BC"/>
    <w:rsid w:val="009011F9"/>
    <w:rsid w:val="00901244"/>
    <w:rsid w:val="00901979"/>
    <w:rsid w:val="00901B23"/>
    <w:rsid w:val="00902357"/>
    <w:rsid w:val="0090242A"/>
    <w:rsid w:val="0090249B"/>
    <w:rsid w:val="00902568"/>
    <w:rsid w:val="0090289A"/>
    <w:rsid w:val="00902A3A"/>
    <w:rsid w:val="00902C85"/>
    <w:rsid w:val="009030F7"/>
    <w:rsid w:val="009034D9"/>
    <w:rsid w:val="00903D45"/>
    <w:rsid w:val="0090426B"/>
    <w:rsid w:val="009046C9"/>
    <w:rsid w:val="009046F1"/>
    <w:rsid w:val="00904883"/>
    <w:rsid w:val="00904B0A"/>
    <w:rsid w:val="00904F84"/>
    <w:rsid w:val="009050E7"/>
    <w:rsid w:val="009055DD"/>
    <w:rsid w:val="00905996"/>
    <w:rsid w:val="0090616A"/>
    <w:rsid w:val="00906177"/>
    <w:rsid w:val="0090618D"/>
    <w:rsid w:val="00906527"/>
    <w:rsid w:val="0090669C"/>
    <w:rsid w:val="00906BD9"/>
    <w:rsid w:val="00906EA0"/>
    <w:rsid w:val="009073F7"/>
    <w:rsid w:val="00907F4C"/>
    <w:rsid w:val="0091006A"/>
    <w:rsid w:val="00910995"/>
    <w:rsid w:val="00910B57"/>
    <w:rsid w:val="0091128D"/>
    <w:rsid w:val="0091148A"/>
    <w:rsid w:val="009116E3"/>
    <w:rsid w:val="00911E50"/>
    <w:rsid w:val="00912347"/>
    <w:rsid w:val="0091268D"/>
    <w:rsid w:val="009129C1"/>
    <w:rsid w:val="009137B3"/>
    <w:rsid w:val="00913B74"/>
    <w:rsid w:val="00913BA9"/>
    <w:rsid w:val="00913EBB"/>
    <w:rsid w:val="009141BB"/>
    <w:rsid w:val="00914B55"/>
    <w:rsid w:val="00914DC4"/>
    <w:rsid w:val="00915261"/>
    <w:rsid w:val="00915329"/>
    <w:rsid w:val="0091588C"/>
    <w:rsid w:val="00915DB5"/>
    <w:rsid w:val="00915DF4"/>
    <w:rsid w:val="00916068"/>
    <w:rsid w:val="00916BF5"/>
    <w:rsid w:val="00916CCB"/>
    <w:rsid w:val="009171CC"/>
    <w:rsid w:val="00917315"/>
    <w:rsid w:val="00917D81"/>
    <w:rsid w:val="00917DB8"/>
    <w:rsid w:val="00917DDD"/>
    <w:rsid w:val="009200F8"/>
    <w:rsid w:val="00920411"/>
    <w:rsid w:val="00920EC8"/>
    <w:rsid w:val="00921102"/>
    <w:rsid w:val="00921305"/>
    <w:rsid w:val="00921497"/>
    <w:rsid w:val="00921783"/>
    <w:rsid w:val="009217D9"/>
    <w:rsid w:val="00921AC8"/>
    <w:rsid w:val="0092206F"/>
    <w:rsid w:val="00922482"/>
    <w:rsid w:val="00922568"/>
    <w:rsid w:val="00922A2B"/>
    <w:rsid w:val="00923C09"/>
    <w:rsid w:val="0092489B"/>
    <w:rsid w:val="009249E3"/>
    <w:rsid w:val="00924A6C"/>
    <w:rsid w:val="00924AED"/>
    <w:rsid w:val="00924ED4"/>
    <w:rsid w:val="00924F63"/>
    <w:rsid w:val="00925450"/>
    <w:rsid w:val="00925C18"/>
    <w:rsid w:val="00926543"/>
    <w:rsid w:val="00926A6A"/>
    <w:rsid w:val="00926B8F"/>
    <w:rsid w:val="00926D4B"/>
    <w:rsid w:val="009271AB"/>
    <w:rsid w:val="00927281"/>
    <w:rsid w:val="009273B8"/>
    <w:rsid w:val="00927A20"/>
    <w:rsid w:val="00927D76"/>
    <w:rsid w:val="00927E96"/>
    <w:rsid w:val="00930298"/>
    <w:rsid w:val="009302A6"/>
    <w:rsid w:val="00930D15"/>
    <w:rsid w:val="00931325"/>
    <w:rsid w:val="009319DC"/>
    <w:rsid w:val="00931AAD"/>
    <w:rsid w:val="00931E6D"/>
    <w:rsid w:val="0093286C"/>
    <w:rsid w:val="00932B97"/>
    <w:rsid w:val="00932D04"/>
    <w:rsid w:val="00932E9E"/>
    <w:rsid w:val="00933190"/>
    <w:rsid w:val="009331BA"/>
    <w:rsid w:val="009333C0"/>
    <w:rsid w:val="00933B8A"/>
    <w:rsid w:val="00934141"/>
    <w:rsid w:val="009341AA"/>
    <w:rsid w:val="0093429A"/>
    <w:rsid w:val="009350EE"/>
    <w:rsid w:val="0093518A"/>
    <w:rsid w:val="009352D3"/>
    <w:rsid w:val="009355BB"/>
    <w:rsid w:val="00935789"/>
    <w:rsid w:val="00935818"/>
    <w:rsid w:val="009358AF"/>
    <w:rsid w:val="009359C5"/>
    <w:rsid w:val="00935CFA"/>
    <w:rsid w:val="00936075"/>
    <w:rsid w:val="00936157"/>
    <w:rsid w:val="009361E8"/>
    <w:rsid w:val="00936247"/>
    <w:rsid w:val="00936501"/>
    <w:rsid w:val="009366AD"/>
    <w:rsid w:val="00936EEA"/>
    <w:rsid w:val="00937496"/>
    <w:rsid w:val="009377A1"/>
    <w:rsid w:val="00937C7D"/>
    <w:rsid w:val="00940850"/>
    <w:rsid w:val="00940B1D"/>
    <w:rsid w:val="0094130E"/>
    <w:rsid w:val="00941340"/>
    <w:rsid w:val="00941FC2"/>
    <w:rsid w:val="0094243B"/>
    <w:rsid w:val="009425EB"/>
    <w:rsid w:val="009428A4"/>
    <w:rsid w:val="00943034"/>
    <w:rsid w:val="00943157"/>
    <w:rsid w:val="0094362E"/>
    <w:rsid w:val="0094368C"/>
    <w:rsid w:val="00943893"/>
    <w:rsid w:val="00943B61"/>
    <w:rsid w:val="00944086"/>
    <w:rsid w:val="00944312"/>
    <w:rsid w:val="0094432A"/>
    <w:rsid w:val="009443DC"/>
    <w:rsid w:val="00944AE2"/>
    <w:rsid w:val="0094526B"/>
    <w:rsid w:val="009455A6"/>
    <w:rsid w:val="009456EB"/>
    <w:rsid w:val="00945E7E"/>
    <w:rsid w:val="00945E8F"/>
    <w:rsid w:val="009463FD"/>
    <w:rsid w:val="009467FD"/>
    <w:rsid w:val="00946905"/>
    <w:rsid w:val="00946D2E"/>
    <w:rsid w:val="00946E64"/>
    <w:rsid w:val="009472F6"/>
    <w:rsid w:val="0094783F"/>
    <w:rsid w:val="00950B18"/>
    <w:rsid w:val="00950C55"/>
    <w:rsid w:val="00950CB3"/>
    <w:rsid w:val="00951075"/>
    <w:rsid w:val="00951F51"/>
    <w:rsid w:val="009520ED"/>
    <w:rsid w:val="00952237"/>
    <w:rsid w:val="0095267E"/>
    <w:rsid w:val="00952E57"/>
    <w:rsid w:val="00952EBB"/>
    <w:rsid w:val="00952F24"/>
    <w:rsid w:val="00952FD9"/>
    <w:rsid w:val="0095370E"/>
    <w:rsid w:val="00953B5D"/>
    <w:rsid w:val="00953D3D"/>
    <w:rsid w:val="00953F68"/>
    <w:rsid w:val="00953F86"/>
    <w:rsid w:val="00954231"/>
    <w:rsid w:val="009543D8"/>
    <w:rsid w:val="009545D6"/>
    <w:rsid w:val="00954608"/>
    <w:rsid w:val="00954C10"/>
    <w:rsid w:val="00954F67"/>
    <w:rsid w:val="00955321"/>
    <w:rsid w:val="009555FD"/>
    <w:rsid w:val="0095581C"/>
    <w:rsid w:val="009558A5"/>
    <w:rsid w:val="00955AA9"/>
    <w:rsid w:val="00955AB2"/>
    <w:rsid w:val="00955C0A"/>
    <w:rsid w:val="00955E60"/>
    <w:rsid w:val="00955EC8"/>
    <w:rsid w:val="009567F5"/>
    <w:rsid w:val="0095699A"/>
    <w:rsid w:val="00956B34"/>
    <w:rsid w:val="0095702D"/>
    <w:rsid w:val="0095718C"/>
    <w:rsid w:val="009571A6"/>
    <w:rsid w:val="0095752A"/>
    <w:rsid w:val="009577C1"/>
    <w:rsid w:val="0096013D"/>
    <w:rsid w:val="009602BA"/>
    <w:rsid w:val="00960D3A"/>
    <w:rsid w:val="00960F79"/>
    <w:rsid w:val="009615D7"/>
    <w:rsid w:val="00961B38"/>
    <w:rsid w:val="009624CE"/>
    <w:rsid w:val="00962D17"/>
    <w:rsid w:val="00963D17"/>
    <w:rsid w:val="00963D45"/>
    <w:rsid w:val="009640B5"/>
    <w:rsid w:val="00964459"/>
    <w:rsid w:val="009657D5"/>
    <w:rsid w:val="00965F9F"/>
    <w:rsid w:val="00966141"/>
    <w:rsid w:val="0096620D"/>
    <w:rsid w:val="009662EC"/>
    <w:rsid w:val="00966611"/>
    <w:rsid w:val="0096661F"/>
    <w:rsid w:val="00966833"/>
    <w:rsid w:val="009669CC"/>
    <w:rsid w:val="00966C18"/>
    <w:rsid w:val="00967517"/>
    <w:rsid w:val="009675EB"/>
    <w:rsid w:val="00967655"/>
    <w:rsid w:val="009679FE"/>
    <w:rsid w:val="00967DD4"/>
    <w:rsid w:val="009706DC"/>
    <w:rsid w:val="00970E13"/>
    <w:rsid w:val="00970F12"/>
    <w:rsid w:val="00970F1A"/>
    <w:rsid w:val="009710BF"/>
    <w:rsid w:val="00971874"/>
    <w:rsid w:val="00971E8F"/>
    <w:rsid w:val="00971F83"/>
    <w:rsid w:val="00972061"/>
    <w:rsid w:val="0097245C"/>
    <w:rsid w:val="009725FE"/>
    <w:rsid w:val="0097282B"/>
    <w:rsid w:val="00972DAC"/>
    <w:rsid w:val="0097392D"/>
    <w:rsid w:val="00973A35"/>
    <w:rsid w:val="00974A1E"/>
    <w:rsid w:val="0097559A"/>
    <w:rsid w:val="009759FA"/>
    <w:rsid w:val="00975D48"/>
    <w:rsid w:val="009763BA"/>
    <w:rsid w:val="00976546"/>
    <w:rsid w:val="009765F1"/>
    <w:rsid w:val="00976FCF"/>
    <w:rsid w:val="00977AAB"/>
    <w:rsid w:val="009804EA"/>
    <w:rsid w:val="00980BAC"/>
    <w:rsid w:val="00980C22"/>
    <w:rsid w:val="00980DF0"/>
    <w:rsid w:val="00980F3F"/>
    <w:rsid w:val="00981323"/>
    <w:rsid w:val="00981399"/>
    <w:rsid w:val="00981854"/>
    <w:rsid w:val="00981D1C"/>
    <w:rsid w:val="00982214"/>
    <w:rsid w:val="009823D4"/>
    <w:rsid w:val="00982474"/>
    <w:rsid w:val="00982E9C"/>
    <w:rsid w:val="00982FF8"/>
    <w:rsid w:val="00983285"/>
    <w:rsid w:val="0098350A"/>
    <w:rsid w:val="00983C42"/>
    <w:rsid w:val="00983F25"/>
    <w:rsid w:val="00984672"/>
    <w:rsid w:val="00984F97"/>
    <w:rsid w:val="00984FAF"/>
    <w:rsid w:val="0098569D"/>
    <w:rsid w:val="00985A09"/>
    <w:rsid w:val="00986277"/>
    <w:rsid w:val="009866A3"/>
    <w:rsid w:val="0098693D"/>
    <w:rsid w:val="00986B79"/>
    <w:rsid w:val="00986D0D"/>
    <w:rsid w:val="009871C7"/>
    <w:rsid w:val="009872F1"/>
    <w:rsid w:val="00987EB4"/>
    <w:rsid w:val="0099011F"/>
    <w:rsid w:val="00990343"/>
    <w:rsid w:val="009905E1"/>
    <w:rsid w:val="0099064C"/>
    <w:rsid w:val="0099078A"/>
    <w:rsid w:val="0099097F"/>
    <w:rsid w:val="00990C73"/>
    <w:rsid w:val="0099105E"/>
    <w:rsid w:val="009916FA"/>
    <w:rsid w:val="00991974"/>
    <w:rsid w:val="00992097"/>
    <w:rsid w:val="00992869"/>
    <w:rsid w:val="00992914"/>
    <w:rsid w:val="00992C47"/>
    <w:rsid w:val="00992CC9"/>
    <w:rsid w:val="00993776"/>
    <w:rsid w:val="00993832"/>
    <w:rsid w:val="009938CB"/>
    <w:rsid w:val="00993B3F"/>
    <w:rsid w:val="00993F15"/>
    <w:rsid w:val="009944B9"/>
    <w:rsid w:val="00994587"/>
    <w:rsid w:val="0099473F"/>
    <w:rsid w:val="009947D5"/>
    <w:rsid w:val="00994B69"/>
    <w:rsid w:val="00994BB8"/>
    <w:rsid w:val="00994E90"/>
    <w:rsid w:val="0099551B"/>
    <w:rsid w:val="009955E2"/>
    <w:rsid w:val="00995629"/>
    <w:rsid w:val="009959A5"/>
    <w:rsid w:val="00995B64"/>
    <w:rsid w:val="00995C16"/>
    <w:rsid w:val="00996206"/>
    <w:rsid w:val="0099625A"/>
    <w:rsid w:val="0099635A"/>
    <w:rsid w:val="009965BC"/>
    <w:rsid w:val="0099662E"/>
    <w:rsid w:val="00997258"/>
    <w:rsid w:val="009975C2"/>
    <w:rsid w:val="009979DC"/>
    <w:rsid w:val="00997C19"/>
    <w:rsid w:val="009A0415"/>
    <w:rsid w:val="009A04CD"/>
    <w:rsid w:val="009A0D6F"/>
    <w:rsid w:val="009A177E"/>
    <w:rsid w:val="009A1AE9"/>
    <w:rsid w:val="009A1F1E"/>
    <w:rsid w:val="009A22E6"/>
    <w:rsid w:val="009A2486"/>
    <w:rsid w:val="009A2690"/>
    <w:rsid w:val="009A2E11"/>
    <w:rsid w:val="009A3307"/>
    <w:rsid w:val="009A3520"/>
    <w:rsid w:val="009A3547"/>
    <w:rsid w:val="009A38F2"/>
    <w:rsid w:val="009A39D1"/>
    <w:rsid w:val="009A39FF"/>
    <w:rsid w:val="009A3C75"/>
    <w:rsid w:val="009A3CB5"/>
    <w:rsid w:val="009A3EAF"/>
    <w:rsid w:val="009A3F33"/>
    <w:rsid w:val="009A40F8"/>
    <w:rsid w:val="009A4AA6"/>
    <w:rsid w:val="009A4ACB"/>
    <w:rsid w:val="009A54D4"/>
    <w:rsid w:val="009A5501"/>
    <w:rsid w:val="009A5AE0"/>
    <w:rsid w:val="009A5C6C"/>
    <w:rsid w:val="009A6376"/>
    <w:rsid w:val="009A6601"/>
    <w:rsid w:val="009A6621"/>
    <w:rsid w:val="009A6AEA"/>
    <w:rsid w:val="009A6CC5"/>
    <w:rsid w:val="009A7041"/>
    <w:rsid w:val="009A78C0"/>
    <w:rsid w:val="009A7AD0"/>
    <w:rsid w:val="009B01B5"/>
    <w:rsid w:val="009B05B4"/>
    <w:rsid w:val="009B0DB6"/>
    <w:rsid w:val="009B1C9A"/>
    <w:rsid w:val="009B1F3A"/>
    <w:rsid w:val="009B21AC"/>
    <w:rsid w:val="009B2766"/>
    <w:rsid w:val="009B2FB6"/>
    <w:rsid w:val="009B32F0"/>
    <w:rsid w:val="009B3774"/>
    <w:rsid w:val="009B3CEC"/>
    <w:rsid w:val="009B3EB4"/>
    <w:rsid w:val="009B3F21"/>
    <w:rsid w:val="009B42BE"/>
    <w:rsid w:val="009B4D23"/>
    <w:rsid w:val="009B5973"/>
    <w:rsid w:val="009B5B48"/>
    <w:rsid w:val="009B5C33"/>
    <w:rsid w:val="009B5EDD"/>
    <w:rsid w:val="009B62E6"/>
    <w:rsid w:val="009B67C4"/>
    <w:rsid w:val="009B6A3F"/>
    <w:rsid w:val="009B6C5A"/>
    <w:rsid w:val="009B71E1"/>
    <w:rsid w:val="009B7A0A"/>
    <w:rsid w:val="009C0448"/>
    <w:rsid w:val="009C0615"/>
    <w:rsid w:val="009C097F"/>
    <w:rsid w:val="009C0CF8"/>
    <w:rsid w:val="009C0ED7"/>
    <w:rsid w:val="009C125A"/>
    <w:rsid w:val="009C163B"/>
    <w:rsid w:val="009C1862"/>
    <w:rsid w:val="009C1AC7"/>
    <w:rsid w:val="009C1B2E"/>
    <w:rsid w:val="009C1EB2"/>
    <w:rsid w:val="009C2675"/>
    <w:rsid w:val="009C2689"/>
    <w:rsid w:val="009C2839"/>
    <w:rsid w:val="009C28D4"/>
    <w:rsid w:val="009C294A"/>
    <w:rsid w:val="009C2DC4"/>
    <w:rsid w:val="009C3042"/>
    <w:rsid w:val="009C32C2"/>
    <w:rsid w:val="009C386A"/>
    <w:rsid w:val="009C3E76"/>
    <w:rsid w:val="009C3E9C"/>
    <w:rsid w:val="009C3EB2"/>
    <w:rsid w:val="009C3EF2"/>
    <w:rsid w:val="009C43D6"/>
    <w:rsid w:val="009C4566"/>
    <w:rsid w:val="009C4960"/>
    <w:rsid w:val="009C4A32"/>
    <w:rsid w:val="009C5535"/>
    <w:rsid w:val="009C5908"/>
    <w:rsid w:val="009C599C"/>
    <w:rsid w:val="009C60F8"/>
    <w:rsid w:val="009C63AB"/>
    <w:rsid w:val="009C6667"/>
    <w:rsid w:val="009C69D0"/>
    <w:rsid w:val="009C69F4"/>
    <w:rsid w:val="009C6AAC"/>
    <w:rsid w:val="009C7163"/>
    <w:rsid w:val="009C7549"/>
    <w:rsid w:val="009C77A3"/>
    <w:rsid w:val="009D019B"/>
    <w:rsid w:val="009D1082"/>
    <w:rsid w:val="009D10BE"/>
    <w:rsid w:val="009D1478"/>
    <w:rsid w:val="009D20AC"/>
    <w:rsid w:val="009D20C9"/>
    <w:rsid w:val="009D21C8"/>
    <w:rsid w:val="009D26D8"/>
    <w:rsid w:val="009D30F9"/>
    <w:rsid w:val="009D3192"/>
    <w:rsid w:val="009D31C0"/>
    <w:rsid w:val="009D322C"/>
    <w:rsid w:val="009D3340"/>
    <w:rsid w:val="009D334F"/>
    <w:rsid w:val="009D345D"/>
    <w:rsid w:val="009D3527"/>
    <w:rsid w:val="009D372A"/>
    <w:rsid w:val="009D385B"/>
    <w:rsid w:val="009D3A26"/>
    <w:rsid w:val="009D3BAC"/>
    <w:rsid w:val="009D3EDD"/>
    <w:rsid w:val="009D48BA"/>
    <w:rsid w:val="009D4B7E"/>
    <w:rsid w:val="009D4D48"/>
    <w:rsid w:val="009D4DC6"/>
    <w:rsid w:val="009D4E15"/>
    <w:rsid w:val="009D5106"/>
    <w:rsid w:val="009D5D38"/>
    <w:rsid w:val="009D5D42"/>
    <w:rsid w:val="009D5DC4"/>
    <w:rsid w:val="009D5E99"/>
    <w:rsid w:val="009D653F"/>
    <w:rsid w:val="009D66B9"/>
    <w:rsid w:val="009D6B77"/>
    <w:rsid w:val="009D6CE1"/>
    <w:rsid w:val="009D6F44"/>
    <w:rsid w:val="009D7869"/>
    <w:rsid w:val="009E0114"/>
    <w:rsid w:val="009E0AB5"/>
    <w:rsid w:val="009E12E3"/>
    <w:rsid w:val="009E14B2"/>
    <w:rsid w:val="009E15D2"/>
    <w:rsid w:val="009E16F2"/>
    <w:rsid w:val="009E1D15"/>
    <w:rsid w:val="009E1DFA"/>
    <w:rsid w:val="009E23ED"/>
    <w:rsid w:val="009E255E"/>
    <w:rsid w:val="009E26BC"/>
    <w:rsid w:val="009E293E"/>
    <w:rsid w:val="009E322C"/>
    <w:rsid w:val="009E3352"/>
    <w:rsid w:val="009E3479"/>
    <w:rsid w:val="009E387D"/>
    <w:rsid w:val="009E3DCA"/>
    <w:rsid w:val="009E453D"/>
    <w:rsid w:val="009E45F8"/>
    <w:rsid w:val="009E5013"/>
    <w:rsid w:val="009E526A"/>
    <w:rsid w:val="009E567C"/>
    <w:rsid w:val="009E56B0"/>
    <w:rsid w:val="009E5917"/>
    <w:rsid w:val="009E6223"/>
    <w:rsid w:val="009E648D"/>
    <w:rsid w:val="009E665A"/>
    <w:rsid w:val="009E725F"/>
    <w:rsid w:val="009E79CF"/>
    <w:rsid w:val="009E7F2E"/>
    <w:rsid w:val="009E7FDA"/>
    <w:rsid w:val="009F009C"/>
    <w:rsid w:val="009F0345"/>
    <w:rsid w:val="009F045E"/>
    <w:rsid w:val="009F04F2"/>
    <w:rsid w:val="009F0A8F"/>
    <w:rsid w:val="009F160D"/>
    <w:rsid w:val="009F2161"/>
    <w:rsid w:val="009F231C"/>
    <w:rsid w:val="009F23E3"/>
    <w:rsid w:val="009F2512"/>
    <w:rsid w:val="009F29F3"/>
    <w:rsid w:val="009F2C7D"/>
    <w:rsid w:val="009F30E5"/>
    <w:rsid w:val="009F40CE"/>
    <w:rsid w:val="009F4BDF"/>
    <w:rsid w:val="009F4CDA"/>
    <w:rsid w:val="009F59BF"/>
    <w:rsid w:val="009F5C94"/>
    <w:rsid w:val="009F5D42"/>
    <w:rsid w:val="009F5F68"/>
    <w:rsid w:val="009F70CE"/>
    <w:rsid w:val="009F776E"/>
    <w:rsid w:val="009F7C43"/>
    <w:rsid w:val="009F7FAE"/>
    <w:rsid w:val="00A00B19"/>
    <w:rsid w:val="00A00F42"/>
    <w:rsid w:val="00A01519"/>
    <w:rsid w:val="00A0195A"/>
    <w:rsid w:val="00A0268F"/>
    <w:rsid w:val="00A02D3C"/>
    <w:rsid w:val="00A02EE8"/>
    <w:rsid w:val="00A032EA"/>
    <w:rsid w:val="00A034B9"/>
    <w:rsid w:val="00A0408F"/>
    <w:rsid w:val="00A04327"/>
    <w:rsid w:val="00A04E68"/>
    <w:rsid w:val="00A05975"/>
    <w:rsid w:val="00A0598E"/>
    <w:rsid w:val="00A05DDC"/>
    <w:rsid w:val="00A05EAA"/>
    <w:rsid w:val="00A0608D"/>
    <w:rsid w:val="00A060BE"/>
    <w:rsid w:val="00A06159"/>
    <w:rsid w:val="00A0695E"/>
    <w:rsid w:val="00A077B9"/>
    <w:rsid w:val="00A07D26"/>
    <w:rsid w:val="00A07D2F"/>
    <w:rsid w:val="00A1036E"/>
    <w:rsid w:val="00A104A1"/>
    <w:rsid w:val="00A10D80"/>
    <w:rsid w:val="00A10FC7"/>
    <w:rsid w:val="00A11671"/>
    <w:rsid w:val="00A1187C"/>
    <w:rsid w:val="00A11EEF"/>
    <w:rsid w:val="00A12159"/>
    <w:rsid w:val="00A126DD"/>
    <w:rsid w:val="00A12CCC"/>
    <w:rsid w:val="00A12D1A"/>
    <w:rsid w:val="00A12E07"/>
    <w:rsid w:val="00A12F3D"/>
    <w:rsid w:val="00A137E3"/>
    <w:rsid w:val="00A13A4E"/>
    <w:rsid w:val="00A15566"/>
    <w:rsid w:val="00A15AC9"/>
    <w:rsid w:val="00A15B2D"/>
    <w:rsid w:val="00A163CD"/>
    <w:rsid w:val="00A165FB"/>
    <w:rsid w:val="00A16778"/>
    <w:rsid w:val="00A16910"/>
    <w:rsid w:val="00A16B57"/>
    <w:rsid w:val="00A16CFB"/>
    <w:rsid w:val="00A171BF"/>
    <w:rsid w:val="00A20207"/>
    <w:rsid w:val="00A20224"/>
    <w:rsid w:val="00A20481"/>
    <w:rsid w:val="00A21424"/>
    <w:rsid w:val="00A21997"/>
    <w:rsid w:val="00A21A06"/>
    <w:rsid w:val="00A21E67"/>
    <w:rsid w:val="00A220FF"/>
    <w:rsid w:val="00A221B7"/>
    <w:rsid w:val="00A22EE6"/>
    <w:rsid w:val="00A23A98"/>
    <w:rsid w:val="00A24217"/>
    <w:rsid w:val="00A24255"/>
    <w:rsid w:val="00A244E9"/>
    <w:rsid w:val="00A24622"/>
    <w:rsid w:val="00A246A3"/>
    <w:rsid w:val="00A24A3F"/>
    <w:rsid w:val="00A259A8"/>
    <w:rsid w:val="00A25ABB"/>
    <w:rsid w:val="00A25E39"/>
    <w:rsid w:val="00A267F3"/>
    <w:rsid w:val="00A26827"/>
    <w:rsid w:val="00A26D47"/>
    <w:rsid w:val="00A26DA7"/>
    <w:rsid w:val="00A26F41"/>
    <w:rsid w:val="00A26F88"/>
    <w:rsid w:val="00A275D1"/>
    <w:rsid w:val="00A27B57"/>
    <w:rsid w:val="00A27EC4"/>
    <w:rsid w:val="00A30BC2"/>
    <w:rsid w:val="00A30F0A"/>
    <w:rsid w:val="00A313B3"/>
    <w:rsid w:val="00A31CE5"/>
    <w:rsid w:val="00A31D00"/>
    <w:rsid w:val="00A31DB7"/>
    <w:rsid w:val="00A32051"/>
    <w:rsid w:val="00A3244C"/>
    <w:rsid w:val="00A32AE0"/>
    <w:rsid w:val="00A32B77"/>
    <w:rsid w:val="00A32BB4"/>
    <w:rsid w:val="00A3367C"/>
    <w:rsid w:val="00A33BE0"/>
    <w:rsid w:val="00A33CCF"/>
    <w:rsid w:val="00A33DA2"/>
    <w:rsid w:val="00A3561C"/>
    <w:rsid w:val="00A35D65"/>
    <w:rsid w:val="00A362D0"/>
    <w:rsid w:val="00A36901"/>
    <w:rsid w:val="00A36CF6"/>
    <w:rsid w:val="00A36EC5"/>
    <w:rsid w:val="00A37703"/>
    <w:rsid w:val="00A37793"/>
    <w:rsid w:val="00A37DDD"/>
    <w:rsid w:val="00A37EDA"/>
    <w:rsid w:val="00A4035D"/>
    <w:rsid w:val="00A40648"/>
    <w:rsid w:val="00A408E6"/>
    <w:rsid w:val="00A413A3"/>
    <w:rsid w:val="00A428A4"/>
    <w:rsid w:val="00A43248"/>
    <w:rsid w:val="00A43270"/>
    <w:rsid w:val="00A44522"/>
    <w:rsid w:val="00A44C3B"/>
    <w:rsid w:val="00A452AE"/>
    <w:rsid w:val="00A4539E"/>
    <w:rsid w:val="00A458FF"/>
    <w:rsid w:val="00A46080"/>
    <w:rsid w:val="00A461CB"/>
    <w:rsid w:val="00A46252"/>
    <w:rsid w:val="00A46C6C"/>
    <w:rsid w:val="00A46EB1"/>
    <w:rsid w:val="00A471C3"/>
    <w:rsid w:val="00A4777E"/>
    <w:rsid w:val="00A47961"/>
    <w:rsid w:val="00A47A54"/>
    <w:rsid w:val="00A47C59"/>
    <w:rsid w:val="00A47CD8"/>
    <w:rsid w:val="00A50FEC"/>
    <w:rsid w:val="00A5183F"/>
    <w:rsid w:val="00A51B8B"/>
    <w:rsid w:val="00A51EA2"/>
    <w:rsid w:val="00A51FC3"/>
    <w:rsid w:val="00A52CFB"/>
    <w:rsid w:val="00A52D3A"/>
    <w:rsid w:val="00A530BD"/>
    <w:rsid w:val="00A532FC"/>
    <w:rsid w:val="00A53624"/>
    <w:rsid w:val="00A53C0C"/>
    <w:rsid w:val="00A544FA"/>
    <w:rsid w:val="00A54F72"/>
    <w:rsid w:val="00A5551B"/>
    <w:rsid w:val="00A565B6"/>
    <w:rsid w:val="00A567E2"/>
    <w:rsid w:val="00A56806"/>
    <w:rsid w:val="00A57008"/>
    <w:rsid w:val="00A57F15"/>
    <w:rsid w:val="00A60066"/>
    <w:rsid w:val="00A60146"/>
    <w:rsid w:val="00A60179"/>
    <w:rsid w:val="00A60316"/>
    <w:rsid w:val="00A61782"/>
    <w:rsid w:val="00A61FDA"/>
    <w:rsid w:val="00A62958"/>
    <w:rsid w:val="00A62AC7"/>
    <w:rsid w:val="00A63360"/>
    <w:rsid w:val="00A63850"/>
    <w:rsid w:val="00A64787"/>
    <w:rsid w:val="00A648E9"/>
    <w:rsid w:val="00A64EEB"/>
    <w:rsid w:val="00A65C38"/>
    <w:rsid w:val="00A6605F"/>
    <w:rsid w:val="00A6654A"/>
    <w:rsid w:val="00A66580"/>
    <w:rsid w:val="00A66592"/>
    <w:rsid w:val="00A66C0D"/>
    <w:rsid w:val="00A6764D"/>
    <w:rsid w:val="00A677BE"/>
    <w:rsid w:val="00A67858"/>
    <w:rsid w:val="00A678C2"/>
    <w:rsid w:val="00A67934"/>
    <w:rsid w:val="00A67A53"/>
    <w:rsid w:val="00A67D4A"/>
    <w:rsid w:val="00A703AE"/>
    <w:rsid w:val="00A70415"/>
    <w:rsid w:val="00A709AE"/>
    <w:rsid w:val="00A70DCB"/>
    <w:rsid w:val="00A70E5B"/>
    <w:rsid w:val="00A71E2D"/>
    <w:rsid w:val="00A71FD1"/>
    <w:rsid w:val="00A720C2"/>
    <w:rsid w:val="00A7248F"/>
    <w:rsid w:val="00A724A0"/>
    <w:rsid w:val="00A726DC"/>
    <w:rsid w:val="00A72733"/>
    <w:rsid w:val="00A7282C"/>
    <w:rsid w:val="00A72BC8"/>
    <w:rsid w:val="00A72C04"/>
    <w:rsid w:val="00A72FE2"/>
    <w:rsid w:val="00A73341"/>
    <w:rsid w:val="00A748ED"/>
    <w:rsid w:val="00A75386"/>
    <w:rsid w:val="00A7593A"/>
    <w:rsid w:val="00A7597F"/>
    <w:rsid w:val="00A75B2B"/>
    <w:rsid w:val="00A75D3F"/>
    <w:rsid w:val="00A764CD"/>
    <w:rsid w:val="00A768C8"/>
    <w:rsid w:val="00A76C21"/>
    <w:rsid w:val="00A77553"/>
    <w:rsid w:val="00A77727"/>
    <w:rsid w:val="00A8004B"/>
    <w:rsid w:val="00A803FE"/>
    <w:rsid w:val="00A80DB3"/>
    <w:rsid w:val="00A811B7"/>
    <w:rsid w:val="00A8153C"/>
    <w:rsid w:val="00A818FB"/>
    <w:rsid w:val="00A81BE3"/>
    <w:rsid w:val="00A8226A"/>
    <w:rsid w:val="00A82941"/>
    <w:rsid w:val="00A82B36"/>
    <w:rsid w:val="00A82DC2"/>
    <w:rsid w:val="00A832FD"/>
    <w:rsid w:val="00A834D6"/>
    <w:rsid w:val="00A83DBC"/>
    <w:rsid w:val="00A84178"/>
    <w:rsid w:val="00A846B9"/>
    <w:rsid w:val="00A84746"/>
    <w:rsid w:val="00A847AE"/>
    <w:rsid w:val="00A84D2C"/>
    <w:rsid w:val="00A85084"/>
    <w:rsid w:val="00A855FE"/>
    <w:rsid w:val="00A85836"/>
    <w:rsid w:val="00A85B3E"/>
    <w:rsid w:val="00A85E79"/>
    <w:rsid w:val="00A85F29"/>
    <w:rsid w:val="00A8613B"/>
    <w:rsid w:val="00A86203"/>
    <w:rsid w:val="00A865FB"/>
    <w:rsid w:val="00A86D62"/>
    <w:rsid w:val="00A87242"/>
    <w:rsid w:val="00A87740"/>
    <w:rsid w:val="00A87982"/>
    <w:rsid w:val="00A87C2F"/>
    <w:rsid w:val="00A904F2"/>
    <w:rsid w:val="00A90A9D"/>
    <w:rsid w:val="00A911A0"/>
    <w:rsid w:val="00A91363"/>
    <w:rsid w:val="00A91450"/>
    <w:rsid w:val="00A91B0D"/>
    <w:rsid w:val="00A91B63"/>
    <w:rsid w:val="00A920B1"/>
    <w:rsid w:val="00A92493"/>
    <w:rsid w:val="00A92564"/>
    <w:rsid w:val="00A925A2"/>
    <w:rsid w:val="00A92954"/>
    <w:rsid w:val="00A92C54"/>
    <w:rsid w:val="00A92D1A"/>
    <w:rsid w:val="00A92DB9"/>
    <w:rsid w:val="00A93429"/>
    <w:rsid w:val="00A93738"/>
    <w:rsid w:val="00A937B4"/>
    <w:rsid w:val="00A93B45"/>
    <w:rsid w:val="00A94084"/>
    <w:rsid w:val="00A9446E"/>
    <w:rsid w:val="00A94AB2"/>
    <w:rsid w:val="00A94AD0"/>
    <w:rsid w:val="00A953A8"/>
    <w:rsid w:val="00A96852"/>
    <w:rsid w:val="00A96B2E"/>
    <w:rsid w:val="00A96C21"/>
    <w:rsid w:val="00A96C87"/>
    <w:rsid w:val="00A96D6C"/>
    <w:rsid w:val="00A9791D"/>
    <w:rsid w:val="00A97B20"/>
    <w:rsid w:val="00A97D4A"/>
    <w:rsid w:val="00A97DB8"/>
    <w:rsid w:val="00AA0209"/>
    <w:rsid w:val="00AA037A"/>
    <w:rsid w:val="00AA03A6"/>
    <w:rsid w:val="00AA0923"/>
    <w:rsid w:val="00AA1128"/>
    <w:rsid w:val="00AA19B1"/>
    <w:rsid w:val="00AA1A7C"/>
    <w:rsid w:val="00AA1ADA"/>
    <w:rsid w:val="00AA1D26"/>
    <w:rsid w:val="00AA1EC0"/>
    <w:rsid w:val="00AA20B3"/>
    <w:rsid w:val="00AA2A7D"/>
    <w:rsid w:val="00AA2A95"/>
    <w:rsid w:val="00AA2ECC"/>
    <w:rsid w:val="00AA3495"/>
    <w:rsid w:val="00AA3975"/>
    <w:rsid w:val="00AA3A3E"/>
    <w:rsid w:val="00AA3B94"/>
    <w:rsid w:val="00AA3C94"/>
    <w:rsid w:val="00AA41D4"/>
    <w:rsid w:val="00AA4203"/>
    <w:rsid w:val="00AA4775"/>
    <w:rsid w:val="00AA488F"/>
    <w:rsid w:val="00AA4B4C"/>
    <w:rsid w:val="00AA530A"/>
    <w:rsid w:val="00AA5515"/>
    <w:rsid w:val="00AA553A"/>
    <w:rsid w:val="00AA567F"/>
    <w:rsid w:val="00AA583C"/>
    <w:rsid w:val="00AA65CF"/>
    <w:rsid w:val="00AA6A88"/>
    <w:rsid w:val="00AA6BC6"/>
    <w:rsid w:val="00AA6C0F"/>
    <w:rsid w:val="00AA6D3A"/>
    <w:rsid w:val="00AA6FE6"/>
    <w:rsid w:val="00AB02DD"/>
    <w:rsid w:val="00AB045C"/>
    <w:rsid w:val="00AB05BB"/>
    <w:rsid w:val="00AB090C"/>
    <w:rsid w:val="00AB0F68"/>
    <w:rsid w:val="00AB0F9A"/>
    <w:rsid w:val="00AB1160"/>
    <w:rsid w:val="00AB1411"/>
    <w:rsid w:val="00AB142E"/>
    <w:rsid w:val="00AB1C10"/>
    <w:rsid w:val="00AB1E0D"/>
    <w:rsid w:val="00AB212D"/>
    <w:rsid w:val="00AB2A86"/>
    <w:rsid w:val="00AB32C1"/>
    <w:rsid w:val="00AB3552"/>
    <w:rsid w:val="00AB414A"/>
    <w:rsid w:val="00AB4649"/>
    <w:rsid w:val="00AB49C3"/>
    <w:rsid w:val="00AB4E52"/>
    <w:rsid w:val="00AB55F8"/>
    <w:rsid w:val="00AB5DF2"/>
    <w:rsid w:val="00AB625F"/>
    <w:rsid w:val="00AB688E"/>
    <w:rsid w:val="00AB6C4D"/>
    <w:rsid w:val="00AB733B"/>
    <w:rsid w:val="00AB7633"/>
    <w:rsid w:val="00AB7866"/>
    <w:rsid w:val="00AC0289"/>
    <w:rsid w:val="00AC0894"/>
    <w:rsid w:val="00AC1D3B"/>
    <w:rsid w:val="00AC1D7C"/>
    <w:rsid w:val="00AC226A"/>
    <w:rsid w:val="00AC246C"/>
    <w:rsid w:val="00AC26BF"/>
    <w:rsid w:val="00AC2FB2"/>
    <w:rsid w:val="00AC32FB"/>
    <w:rsid w:val="00AC34C0"/>
    <w:rsid w:val="00AC3ADE"/>
    <w:rsid w:val="00AC3F58"/>
    <w:rsid w:val="00AC45FF"/>
    <w:rsid w:val="00AC4C92"/>
    <w:rsid w:val="00AC4E28"/>
    <w:rsid w:val="00AC4E71"/>
    <w:rsid w:val="00AC4F7E"/>
    <w:rsid w:val="00AC5700"/>
    <w:rsid w:val="00AC5A64"/>
    <w:rsid w:val="00AC639D"/>
    <w:rsid w:val="00AC7042"/>
    <w:rsid w:val="00AC7520"/>
    <w:rsid w:val="00AC752F"/>
    <w:rsid w:val="00AC7745"/>
    <w:rsid w:val="00AC7B8D"/>
    <w:rsid w:val="00AC7D54"/>
    <w:rsid w:val="00AC7E49"/>
    <w:rsid w:val="00AD099F"/>
    <w:rsid w:val="00AD0A38"/>
    <w:rsid w:val="00AD0AEE"/>
    <w:rsid w:val="00AD16B8"/>
    <w:rsid w:val="00AD185E"/>
    <w:rsid w:val="00AD1A22"/>
    <w:rsid w:val="00AD1C10"/>
    <w:rsid w:val="00AD1F4F"/>
    <w:rsid w:val="00AD2225"/>
    <w:rsid w:val="00AD2565"/>
    <w:rsid w:val="00AD2CE1"/>
    <w:rsid w:val="00AD2E7B"/>
    <w:rsid w:val="00AD2F8F"/>
    <w:rsid w:val="00AD3550"/>
    <w:rsid w:val="00AD3685"/>
    <w:rsid w:val="00AD3798"/>
    <w:rsid w:val="00AD3F4F"/>
    <w:rsid w:val="00AD403C"/>
    <w:rsid w:val="00AD4153"/>
    <w:rsid w:val="00AD477D"/>
    <w:rsid w:val="00AD4838"/>
    <w:rsid w:val="00AD5420"/>
    <w:rsid w:val="00AD55ED"/>
    <w:rsid w:val="00AD56CF"/>
    <w:rsid w:val="00AD5DDB"/>
    <w:rsid w:val="00AD5E3E"/>
    <w:rsid w:val="00AD60B8"/>
    <w:rsid w:val="00AD60EF"/>
    <w:rsid w:val="00AD612C"/>
    <w:rsid w:val="00AD734C"/>
    <w:rsid w:val="00AD7770"/>
    <w:rsid w:val="00AD7922"/>
    <w:rsid w:val="00AE0413"/>
    <w:rsid w:val="00AE05BF"/>
    <w:rsid w:val="00AE07D2"/>
    <w:rsid w:val="00AE0D8D"/>
    <w:rsid w:val="00AE1EC6"/>
    <w:rsid w:val="00AE21C3"/>
    <w:rsid w:val="00AE23C8"/>
    <w:rsid w:val="00AE265A"/>
    <w:rsid w:val="00AE308D"/>
    <w:rsid w:val="00AE3251"/>
    <w:rsid w:val="00AE33D6"/>
    <w:rsid w:val="00AE36D1"/>
    <w:rsid w:val="00AE3DDB"/>
    <w:rsid w:val="00AE3F7A"/>
    <w:rsid w:val="00AE4408"/>
    <w:rsid w:val="00AE4A64"/>
    <w:rsid w:val="00AE52FB"/>
    <w:rsid w:val="00AE5771"/>
    <w:rsid w:val="00AE59FC"/>
    <w:rsid w:val="00AE6AAF"/>
    <w:rsid w:val="00AE6E2E"/>
    <w:rsid w:val="00AE6E97"/>
    <w:rsid w:val="00AE758E"/>
    <w:rsid w:val="00AE7EEF"/>
    <w:rsid w:val="00AE7F69"/>
    <w:rsid w:val="00AF059D"/>
    <w:rsid w:val="00AF077D"/>
    <w:rsid w:val="00AF0955"/>
    <w:rsid w:val="00AF0992"/>
    <w:rsid w:val="00AF0C7C"/>
    <w:rsid w:val="00AF0D62"/>
    <w:rsid w:val="00AF0EB3"/>
    <w:rsid w:val="00AF10FA"/>
    <w:rsid w:val="00AF11F8"/>
    <w:rsid w:val="00AF1281"/>
    <w:rsid w:val="00AF14C8"/>
    <w:rsid w:val="00AF1F4F"/>
    <w:rsid w:val="00AF23D9"/>
    <w:rsid w:val="00AF290E"/>
    <w:rsid w:val="00AF29D9"/>
    <w:rsid w:val="00AF29FA"/>
    <w:rsid w:val="00AF2CA1"/>
    <w:rsid w:val="00AF3602"/>
    <w:rsid w:val="00AF37D5"/>
    <w:rsid w:val="00AF381B"/>
    <w:rsid w:val="00AF3895"/>
    <w:rsid w:val="00AF3B84"/>
    <w:rsid w:val="00AF3F63"/>
    <w:rsid w:val="00AF3F8B"/>
    <w:rsid w:val="00AF4345"/>
    <w:rsid w:val="00AF44BF"/>
    <w:rsid w:val="00AF463B"/>
    <w:rsid w:val="00AF4CC5"/>
    <w:rsid w:val="00AF4D6D"/>
    <w:rsid w:val="00AF5319"/>
    <w:rsid w:val="00AF608B"/>
    <w:rsid w:val="00AF6A59"/>
    <w:rsid w:val="00AF6CCB"/>
    <w:rsid w:val="00AF71D6"/>
    <w:rsid w:val="00AF73B1"/>
    <w:rsid w:val="00AF75A9"/>
    <w:rsid w:val="00AF75F3"/>
    <w:rsid w:val="00AF7BDD"/>
    <w:rsid w:val="00B002C8"/>
    <w:rsid w:val="00B00C74"/>
    <w:rsid w:val="00B00F8C"/>
    <w:rsid w:val="00B00FEC"/>
    <w:rsid w:val="00B01693"/>
    <w:rsid w:val="00B01C22"/>
    <w:rsid w:val="00B0205C"/>
    <w:rsid w:val="00B02145"/>
    <w:rsid w:val="00B0256F"/>
    <w:rsid w:val="00B02797"/>
    <w:rsid w:val="00B02F0C"/>
    <w:rsid w:val="00B02FBA"/>
    <w:rsid w:val="00B030F5"/>
    <w:rsid w:val="00B03776"/>
    <w:rsid w:val="00B03ED8"/>
    <w:rsid w:val="00B0401D"/>
    <w:rsid w:val="00B04179"/>
    <w:rsid w:val="00B042D2"/>
    <w:rsid w:val="00B04D98"/>
    <w:rsid w:val="00B04E8D"/>
    <w:rsid w:val="00B04EF9"/>
    <w:rsid w:val="00B04F50"/>
    <w:rsid w:val="00B0542F"/>
    <w:rsid w:val="00B05A05"/>
    <w:rsid w:val="00B06495"/>
    <w:rsid w:val="00B064F1"/>
    <w:rsid w:val="00B0654F"/>
    <w:rsid w:val="00B06ACE"/>
    <w:rsid w:val="00B06D89"/>
    <w:rsid w:val="00B06DA3"/>
    <w:rsid w:val="00B071D5"/>
    <w:rsid w:val="00B0733E"/>
    <w:rsid w:val="00B10279"/>
    <w:rsid w:val="00B109DF"/>
    <w:rsid w:val="00B10E7D"/>
    <w:rsid w:val="00B10EEF"/>
    <w:rsid w:val="00B10EF0"/>
    <w:rsid w:val="00B11816"/>
    <w:rsid w:val="00B118E1"/>
    <w:rsid w:val="00B11A39"/>
    <w:rsid w:val="00B11A5F"/>
    <w:rsid w:val="00B11A9A"/>
    <w:rsid w:val="00B11F1F"/>
    <w:rsid w:val="00B120CF"/>
    <w:rsid w:val="00B1210E"/>
    <w:rsid w:val="00B1243E"/>
    <w:rsid w:val="00B129BD"/>
    <w:rsid w:val="00B12BDA"/>
    <w:rsid w:val="00B12CE6"/>
    <w:rsid w:val="00B131F4"/>
    <w:rsid w:val="00B132F8"/>
    <w:rsid w:val="00B13483"/>
    <w:rsid w:val="00B1367A"/>
    <w:rsid w:val="00B13BE0"/>
    <w:rsid w:val="00B13D2B"/>
    <w:rsid w:val="00B13F2E"/>
    <w:rsid w:val="00B14011"/>
    <w:rsid w:val="00B14793"/>
    <w:rsid w:val="00B15075"/>
    <w:rsid w:val="00B15774"/>
    <w:rsid w:val="00B15CFE"/>
    <w:rsid w:val="00B15DB9"/>
    <w:rsid w:val="00B16B86"/>
    <w:rsid w:val="00B1780E"/>
    <w:rsid w:val="00B17B33"/>
    <w:rsid w:val="00B17F47"/>
    <w:rsid w:val="00B17F85"/>
    <w:rsid w:val="00B200D3"/>
    <w:rsid w:val="00B2060E"/>
    <w:rsid w:val="00B20DCF"/>
    <w:rsid w:val="00B20F8A"/>
    <w:rsid w:val="00B215EB"/>
    <w:rsid w:val="00B21A5C"/>
    <w:rsid w:val="00B22023"/>
    <w:rsid w:val="00B22522"/>
    <w:rsid w:val="00B2288A"/>
    <w:rsid w:val="00B230D6"/>
    <w:rsid w:val="00B23BF0"/>
    <w:rsid w:val="00B24D66"/>
    <w:rsid w:val="00B258AF"/>
    <w:rsid w:val="00B260D9"/>
    <w:rsid w:val="00B264B0"/>
    <w:rsid w:val="00B26A2C"/>
    <w:rsid w:val="00B26CDB"/>
    <w:rsid w:val="00B26ECF"/>
    <w:rsid w:val="00B27444"/>
    <w:rsid w:val="00B274AA"/>
    <w:rsid w:val="00B2752B"/>
    <w:rsid w:val="00B27734"/>
    <w:rsid w:val="00B27771"/>
    <w:rsid w:val="00B27787"/>
    <w:rsid w:val="00B27833"/>
    <w:rsid w:val="00B278D7"/>
    <w:rsid w:val="00B27962"/>
    <w:rsid w:val="00B30188"/>
    <w:rsid w:val="00B303DC"/>
    <w:rsid w:val="00B3091E"/>
    <w:rsid w:val="00B30A3E"/>
    <w:rsid w:val="00B31602"/>
    <w:rsid w:val="00B3174B"/>
    <w:rsid w:val="00B319FE"/>
    <w:rsid w:val="00B3232C"/>
    <w:rsid w:val="00B33070"/>
    <w:rsid w:val="00B331B8"/>
    <w:rsid w:val="00B334B4"/>
    <w:rsid w:val="00B33786"/>
    <w:rsid w:val="00B337A4"/>
    <w:rsid w:val="00B34271"/>
    <w:rsid w:val="00B34725"/>
    <w:rsid w:val="00B355F0"/>
    <w:rsid w:val="00B3578C"/>
    <w:rsid w:val="00B35AA1"/>
    <w:rsid w:val="00B35E63"/>
    <w:rsid w:val="00B369C4"/>
    <w:rsid w:val="00B36D9E"/>
    <w:rsid w:val="00B37019"/>
    <w:rsid w:val="00B37291"/>
    <w:rsid w:val="00B37311"/>
    <w:rsid w:val="00B37387"/>
    <w:rsid w:val="00B373FB"/>
    <w:rsid w:val="00B37975"/>
    <w:rsid w:val="00B4106F"/>
    <w:rsid w:val="00B41BE7"/>
    <w:rsid w:val="00B424F7"/>
    <w:rsid w:val="00B42568"/>
    <w:rsid w:val="00B42D8F"/>
    <w:rsid w:val="00B4316E"/>
    <w:rsid w:val="00B4339F"/>
    <w:rsid w:val="00B436BD"/>
    <w:rsid w:val="00B4376E"/>
    <w:rsid w:val="00B4381B"/>
    <w:rsid w:val="00B4383C"/>
    <w:rsid w:val="00B4403D"/>
    <w:rsid w:val="00B44317"/>
    <w:rsid w:val="00B447F3"/>
    <w:rsid w:val="00B456A5"/>
    <w:rsid w:val="00B45847"/>
    <w:rsid w:val="00B460A1"/>
    <w:rsid w:val="00B46275"/>
    <w:rsid w:val="00B464C7"/>
    <w:rsid w:val="00B464FA"/>
    <w:rsid w:val="00B4658A"/>
    <w:rsid w:val="00B4733F"/>
    <w:rsid w:val="00B4758E"/>
    <w:rsid w:val="00B47CBB"/>
    <w:rsid w:val="00B5083E"/>
    <w:rsid w:val="00B50ADB"/>
    <w:rsid w:val="00B50B87"/>
    <w:rsid w:val="00B515B6"/>
    <w:rsid w:val="00B51604"/>
    <w:rsid w:val="00B517DA"/>
    <w:rsid w:val="00B5197B"/>
    <w:rsid w:val="00B51F64"/>
    <w:rsid w:val="00B5248D"/>
    <w:rsid w:val="00B537C8"/>
    <w:rsid w:val="00B53B4E"/>
    <w:rsid w:val="00B53C5F"/>
    <w:rsid w:val="00B53CFF"/>
    <w:rsid w:val="00B53F86"/>
    <w:rsid w:val="00B54BD8"/>
    <w:rsid w:val="00B54C55"/>
    <w:rsid w:val="00B5508A"/>
    <w:rsid w:val="00B5596C"/>
    <w:rsid w:val="00B55FCC"/>
    <w:rsid w:val="00B569B2"/>
    <w:rsid w:val="00B56FBD"/>
    <w:rsid w:val="00B5715A"/>
    <w:rsid w:val="00B57327"/>
    <w:rsid w:val="00B57F2F"/>
    <w:rsid w:val="00B6002D"/>
    <w:rsid w:val="00B6010B"/>
    <w:rsid w:val="00B61262"/>
    <w:rsid w:val="00B6210A"/>
    <w:rsid w:val="00B6220A"/>
    <w:rsid w:val="00B62608"/>
    <w:rsid w:val="00B629F3"/>
    <w:rsid w:val="00B6358B"/>
    <w:rsid w:val="00B63C08"/>
    <w:rsid w:val="00B64041"/>
    <w:rsid w:val="00B640CF"/>
    <w:rsid w:val="00B64DDC"/>
    <w:rsid w:val="00B654AD"/>
    <w:rsid w:val="00B65828"/>
    <w:rsid w:val="00B65E01"/>
    <w:rsid w:val="00B665BB"/>
    <w:rsid w:val="00B66800"/>
    <w:rsid w:val="00B668CA"/>
    <w:rsid w:val="00B66AB0"/>
    <w:rsid w:val="00B66D54"/>
    <w:rsid w:val="00B66E77"/>
    <w:rsid w:val="00B673B0"/>
    <w:rsid w:val="00B677D7"/>
    <w:rsid w:val="00B679C3"/>
    <w:rsid w:val="00B67A93"/>
    <w:rsid w:val="00B7095E"/>
    <w:rsid w:val="00B70C27"/>
    <w:rsid w:val="00B70ED8"/>
    <w:rsid w:val="00B710E0"/>
    <w:rsid w:val="00B7162D"/>
    <w:rsid w:val="00B71DA0"/>
    <w:rsid w:val="00B71E56"/>
    <w:rsid w:val="00B71F90"/>
    <w:rsid w:val="00B72438"/>
    <w:rsid w:val="00B727DF"/>
    <w:rsid w:val="00B72CF9"/>
    <w:rsid w:val="00B72EE9"/>
    <w:rsid w:val="00B730F2"/>
    <w:rsid w:val="00B73637"/>
    <w:rsid w:val="00B73942"/>
    <w:rsid w:val="00B73D34"/>
    <w:rsid w:val="00B742C1"/>
    <w:rsid w:val="00B74720"/>
    <w:rsid w:val="00B74AA2"/>
    <w:rsid w:val="00B74C99"/>
    <w:rsid w:val="00B75032"/>
    <w:rsid w:val="00B750D5"/>
    <w:rsid w:val="00B7591C"/>
    <w:rsid w:val="00B75D1D"/>
    <w:rsid w:val="00B75E98"/>
    <w:rsid w:val="00B75F68"/>
    <w:rsid w:val="00B76A3F"/>
    <w:rsid w:val="00B76A7D"/>
    <w:rsid w:val="00B76CE1"/>
    <w:rsid w:val="00B76DEB"/>
    <w:rsid w:val="00B776D5"/>
    <w:rsid w:val="00B77B7E"/>
    <w:rsid w:val="00B805D0"/>
    <w:rsid w:val="00B805FB"/>
    <w:rsid w:val="00B80744"/>
    <w:rsid w:val="00B80979"/>
    <w:rsid w:val="00B81382"/>
    <w:rsid w:val="00B818AA"/>
    <w:rsid w:val="00B81B66"/>
    <w:rsid w:val="00B81BC2"/>
    <w:rsid w:val="00B81C2F"/>
    <w:rsid w:val="00B81C75"/>
    <w:rsid w:val="00B81D8F"/>
    <w:rsid w:val="00B81EEF"/>
    <w:rsid w:val="00B81F26"/>
    <w:rsid w:val="00B821DC"/>
    <w:rsid w:val="00B82628"/>
    <w:rsid w:val="00B82B17"/>
    <w:rsid w:val="00B82EBA"/>
    <w:rsid w:val="00B8344D"/>
    <w:rsid w:val="00B837DA"/>
    <w:rsid w:val="00B83812"/>
    <w:rsid w:val="00B83CC3"/>
    <w:rsid w:val="00B840BB"/>
    <w:rsid w:val="00B84131"/>
    <w:rsid w:val="00B84C9F"/>
    <w:rsid w:val="00B8525F"/>
    <w:rsid w:val="00B853BC"/>
    <w:rsid w:val="00B856E9"/>
    <w:rsid w:val="00B85774"/>
    <w:rsid w:val="00B85893"/>
    <w:rsid w:val="00B85B07"/>
    <w:rsid w:val="00B85BDF"/>
    <w:rsid w:val="00B86429"/>
    <w:rsid w:val="00B8648F"/>
    <w:rsid w:val="00B86567"/>
    <w:rsid w:val="00B866C7"/>
    <w:rsid w:val="00B86EF1"/>
    <w:rsid w:val="00B86EFB"/>
    <w:rsid w:val="00B8735F"/>
    <w:rsid w:val="00B87563"/>
    <w:rsid w:val="00B87EBC"/>
    <w:rsid w:val="00B87FF0"/>
    <w:rsid w:val="00B903AE"/>
    <w:rsid w:val="00B90825"/>
    <w:rsid w:val="00B9084F"/>
    <w:rsid w:val="00B90862"/>
    <w:rsid w:val="00B90AC3"/>
    <w:rsid w:val="00B90DD5"/>
    <w:rsid w:val="00B912EC"/>
    <w:rsid w:val="00B91326"/>
    <w:rsid w:val="00B915DD"/>
    <w:rsid w:val="00B917AC"/>
    <w:rsid w:val="00B91B14"/>
    <w:rsid w:val="00B91F77"/>
    <w:rsid w:val="00B92626"/>
    <w:rsid w:val="00B926AC"/>
    <w:rsid w:val="00B928E0"/>
    <w:rsid w:val="00B92E6B"/>
    <w:rsid w:val="00B93043"/>
    <w:rsid w:val="00B93431"/>
    <w:rsid w:val="00B93500"/>
    <w:rsid w:val="00B93522"/>
    <w:rsid w:val="00B93D97"/>
    <w:rsid w:val="00B93F3A"/>
    <w:rsid w:val="00B940B6"/>
    <w:rsid w:val="00B94392"/>
    <w:rsid w:val="00B94D75"/>
    <w:rsid w:val="00B95504"/>
    <w:rsid w:val="00B955F5"/>
    <w:rsid w:val="00B95663"/>
    <w:rsid w:val="00B95A36"/>
    <w:rsid w:val="00B95B92"/>
    <w:rsid w:val="00B95CCC"/>
    <w:rsid w:val="00B95F44"/>
    <w:rsid w:val="00B9611F"/>
    <w:rsid w:val="00B961EA"/>
    <w:rsid w:val="00B968FE"/>
    <w:rsid w:val="00B96D3C"/>
    <w:rsid w:val="00B97412"/>
    <w:rsid w:val="00B97577"/>
    <w:rsid w:val="00B97B8F"/>
    <w:rsid w:val="00BA05FB"/>
    <w:rsid w:val="00BA0786"/>
    <w:rsid w:val="00BA07E5"/>
    <w:rsid w:val="00BA0BBB"/>
    <w:rsid w:val="00BA0FE9"/>
    <w:rsid w:val="00BA103F"/>
    <w:rsid w:val="00BA139F"/>
    <w:rsid w:val="00BA16BA"/>
    <w:rsid w:val="00BA1A0B"/>
    <w:rsid w:val="00BA1A82"/>
    <w:rsid w:val="00BA1D11"/>
    <w:rsid w:val="00BA1E22"/>
    <w:rsid w:val="00BA1E85"/>
    <w:rsid w:val="00BA303E"/>
    <w:rsid w:val="00BA3401"/>
    <w:rsid w:val="00BA359B"/>
    <w:rsid w:val="00BA3A93"/>
    <w:rsid w:val="00BA3E41"/>
    <w:rsid w:val="00BA46E8"/>
    <w:rsid w:val="00BA4732"/>
    <w:rsid w:val="00BA47C3"/>
    <w:rsid w:val="00BA4D05"/>
    <w:rsid w:val="00BA4F45"/>
    <w:rsid w:val="00BA5165"/>
    <w:rsid w:val="00BA5599"/>
    <w:rsid w:val="00BA5A40"/>
    <w:rsid w:val="00BA5FD5"/>
    <w:rsid w:val="00BA62AB"/>
    <w:rsid w:val="00BA75EE"/>
    <w:rsid w:val="00BA7E0B"/>
    <w:rsid w:val="00BB0053"/>
    <w:rsid w:val="00BB0DE3"/>
    <w:rsid w:val="00BB0EA0"/>
    <w:rsid w:val="00BB0F6B"/>
    <w:rsid w:val="00BB10CD"/>
    <w:rsid w:val="00BB10F0"/>
    <w:rsid w:val="00BB122E"/>
    <w:rsid w:val="00BB15C1"/>
    <w:rsid w:val="00BB1A82"/>
    <w:rsid w:val="00BB1DD9"/>
    <w:rsid w:val="00BB20DC"/>
    <w:rsid w:val="00BB219B"/>
    <w:rsid w:val="00BB25BB"/>
    <w:rsid w:val="00BB287A"/>
    <w:rsid w:val="00BB2DD8"/>
    <w:rsid w:val="00BB318A"/>
    <w:rsid w:val="00BB3EB9"/>
    <w:rsid w:val="00BB4389"/>
    <w:rsid w:val="00BB4973"/>
    <w:rsid w:val="00BB4A6F"/>
    <w:rsid w:val="00BB56B1"/>
    <w:rsid w:val="00BB5759"/>
    <w:rsid w:val="00BB5A30"/>
    <w:rsid w:val="00BB5B98"/>
    <w:rsid w:val="00BB6407"/>
    <w:rsid w:val="00BB6A14"/>
    <w:rsid w:val="00BB6F2E"/>
    <w:rsid w:val="00BB718E"/>
    <w:rsid w:val="00BB7BAC"/>
    <w:rsid w:val="00BB7F7D"/>
    <w:rsid w:val="00BC009A"/>
    <w:rsid w:val="00BC057A"/>
    <w:rsid w:val="00BC0598"/>
    <w:rsid w:val="00BC08D8"/>
    <w:rsid w:val="00BC08FC"/>
    <w:rsid w:val="00BC0FCE"/>
    <w:rsid w:val="00BC1010"/>
    <w:rsid w:val="00BC13CC"/>
    <w:rsid w:val="00BC202D"/>
    <w:rsid w:val="00BC213B"/>
    <w:rsid w:val="00BC2821"/>
    <w:rsid w:val="00BC2964"/>
    <w:rsid w:val="00BC3112"/>
    <w:rsid w:val="00BC3776"/>
    <w:rsid w:val="00BC39C4"/>
    <w:rsid w:val="00BC3D8E"/>
    <w:rsid w:val="00BC3E6F"/>
    <w:rsid w:val="00BC3E7F"/>
    <w:rsid w:val="00BC41B5"/>
    <w:rsid w:val="00BC4C63"/>
    <w:rsid w:val="00BC53C2"/>
    <w:rsid w:val="00BC54D1"/>
    <w:rsid w:val="00BC5A3E"/>
    <w:rsid w:val="00BC6308"/>
    <w:rsid w:val="00BC63B9"/>
    <w:rsid w:val="00BC63FE"/>
    <w:rsid w:val="00BC666D"/>
    <w:rsid w:val="00BC67A4"/>
    <w:rsid w:val="00BC6AA4"/>
    <w:rsid w:val="00BC6B4D"/>
    <w:rsid w:val="00BC6C4F"/>
    <w:rsid w:val="00BC75C4"/>
    <w:rsid w:val="00BC76AA"/>
    <w:rsid w:val="00BC793F"/>
    <w:rsid w:val="00BD0270"/>
    <w:rsid w:val="00BD0652"/>
    <w:rsid w:val="00BD1290"/>
    <w:rsid w:val="00BD1A5A"/>
    <w:rsid w:val="00BD1CFB"/>
    <w:rsid w:val="00BD2AAB"/>
    <w:rsid w:val="00BD2B8F"/>
    <w:rsid w:val="00BD2F3F"/>
    <w:rsid w:val="00BD35B9"/>
    <w:rsid w:val="00BD369D"/>
    <w:rsid w:val="00BD36EC"/>
    <w:rsid w:val="00BD4A52"/>
    <w:rsid w:val="00BD51CA"/>
    <w:rsid w:val="00BD5459"/>
    <w:rsid w:val="00BD5CD2"/>
    <w:rsid w:val="00BD5F3C"/>
    <w:rsid w:val="00BD6AED"/>
    <w:rsid w:val="00BD77DE"/>
    <w:rsid w:val="00BD79C2"/>
    <w:rsid w:val="00BE0515"/>
    <w:rsid w:val="00BE0929"/>
    <w:rsid w:val="00BE1F2E"/>
    <w:rsid w:val="00BE1FA7"/>
    <w:rsid w:val="00BE2AD7"/>
    <w:rsid w:val="00BE2BAA"/>
    <w:rsid w:val="00BE2FF7"/>
    <w:rsid w:val="00BE42C8"/>
    <w:rsid w:val="00BE476A"/>
    <w:rsid w:val="00BE4F8D"/>
    <w:rsid w:val="00BE50E1"/>
    <w:rsid w:val="00BE590A"/>
    <w:rsid w:val="00BE5A2B"/>
    <w:rsid w:val="00BE5DC6"/>
    <w:rsid w:val="00BE66A5"/>
    <w:rsid w:val="00BE6857"/>
    <w:rsid w:val="00BE6A22"/>
    <w:rsid w:val="00BE6FA3"/>
    <w:rsid w:val="00BE71DF"/>
    <w:rsid w:val="00BE74D4"/>
    <w:rsid w:val="00BE770F"/>
    <w:rsid w:val="00BE778C"/>
    <w:rsid w:val="00BE77C4"/>
    <w:rsid w:val="00BE7FE3"/>
    <w:rsid w:val="00BF01D4"/>
    <w:rsid w:val="00BF0463"/>
    <w:rsid w:val="00BF075C"/>
    <w:rsid w:val="00BF0CFC"/>
    <w:rsid w:val="00BF1024"/>
    <w:rsid w:val="00BF11F8"/>
    <w:rsid w:val="00BF1627"/>
    <w:rsid w:val="00BF1B9B"/>
    <w:rsid w:val="00BF1C8E"/>
    <w:rsid w:val="00BF20FB"/>
    <w:rsid w:val="00BF2355"/>
    <w:rsid w:val="00BF2997"/>
    <w:rsid w:val="00BF2B28"/>
    <w:rsid w:val="00BF2B84"/>
    <w:rsid w:val="00BF3A7A"/>
    <w:rsid w:val="00BF4C22"/>
    <w:rsid w:val="00BF4CD1"/>
    <w:rsid w:val="00BF4DD7"/>
    <w:rsid w:val="00BF5117"/>
    <w:rsid w:val="00BF51E4"/>
    <w:rsid w:val="00BF5900"/>
    <w:rsid w:val="00BF59E2"/>
    <w:rsid w:val="00BF5E28"/>
    <w:rsid w:val="00BF6043"/>
    <w:rsid w:val="00BF76ED"/>
    <w:rsid w:val="00BF774F"/>
    <w:rsid w:val="00BF7850"/>
    <w:rsid w:val="00C00156"/>
    <w:rsid w:val="00C003C3"/>
    <w:rsid w:val="00C006F6"/>
    <w:rsid w:val="00C00838"/>
    <w:rsid w:val="00C008C6"/>
    <w:rsid w:val="00C00BE6"/>
    <w:rsid w:val="00C00F80"/>
    <w:rsid w:val="00C01250"/>
    <w:rsid w:val="00C01619"/>
    <w:rsid w:val="00C02C01"/>
    <w:rsid w:val="00C0302D"/>
    <w:rsid w:val="00C03041"/>
    <w:rsid w:val="00C035DA"/>
    <w:rsid w:val="00C03815"/>
    <w:rsid w:val="00C041F4"/>
    <w:rsid w:val="00C04C59"/>
    <w:rsid w:val="00C0524E"/>
    <w:rsid w:val="00C05428"/>
    <w:rsid w:val="00C058A3"/>
    <w:rsid w:val="00C05E05"/>
    <w:rsid w:val="00C062FB"/>
    <w:rsid w:val="00C06A8A"/>
    <w:rsid w:val="00C06B5A"/>
    <w:rsid w:val="00C0711F"/>
    <w:rsid w:val="00C077E1"/>
    <w:rsid w:val="00C079C7"/>
    <w:rsid w:val="00C104DE"/>
    <w:rsid w:val="00C107BE"/>
    <w:rsid w:val="00C10BD0"/>
    <w:rsid w:val="00C10C03"/>
    <w:rsid w:val="00C111C4"/>
    <w:rsid w:val="00C112F7"/>
    <w:rsid w:val="00C1161D"/>
    <w:rsid w:val="00C117E7"/>
    <w:rsid w:val="00C11B0E"/>
    <w:rsid w:val="00C11E13"/>
    <w:rsid w:val="00C12CC4"/>
    <w:rsid w:val="00C12CE6"/>
    <w:rsid w:val="00C12D9C"/>
    <w:rsid w:val="00C13208"/>
    <w:rsid w:val="00C133F5"/>
    <w:rsid w:val="00C13413"/>
    <w:rsid w:val="00C1360E"/>
    <w:rsid w:val="00C13819"/>
    <w:rsid w:val="00C13CCA"/>
    <w:rsid w:val="00C142EA"/>
    <w:rsid w:val="00C14583"/>
    <w:rsid w:val="00C1475A"/>
    <w:rsid w:val="00C14863"/>
    <w:rsid w:val="00C14AD2"/>
    <w:rsid w:val="00C14CA5"/>
    <w:rsid w:val="00C14E4D"/>
    <w:rsid w:val="00C1567B"/>
    <w:rsid w:val="00C15750"/>
    <w:rsid w:val="00C15BE1"/>
    <w:rsid w:val="00C160D9"/>
    <w:rsid w:val="00C16B32"/>
    <w:rsid w:val="00C16FF1"/>
    <w:rsid w:val="00C17089"/>
    <w:rsid w:val="00C1715B"/>
    <w:rsid w:val="00C1757F"/>
    <w:rsid w:val="00C1784E"/>
    <w:rsid w:val="00C17B74"/>
    <w:rsid w:val="00C17BCC"/>
    <w:rsid w:val="00C20001"/>
    <w:rsid w:val="00C20101"/>
    <w:rsid w:val="00C20358"/>
    <w:rsid w:val="00C20A09"/>
    <w:rsid w:val="00C20AEB"/>
    <w:rsid w:val="00C20F22"/>
    <w:rsid w:val="00C21336"/>
    <w:rsid w:val="00C2161D"/>
    <w:rsid w:val="00C21FF8"/>
    <w:rsid w:val="00C220F2"/>
    <w:rsid w:val="00C223A0"/>
    <w:rsid w:val="00C2282D"/>
    <w:rsid w:val="00C22FB8"/>
    <w:rsid w:val="00C23BBD"/>
    <w:rsid w:val="00C23E3D"/>
    <w:rsid w:val="00C2455C"/>
    <w:rsid w:val="00C24638"/>
    <w:rsid w:val="00C24E22"/>
    <w:rsid w:val="00C25A6C"/>
    <w:rsid w:val="00C26495"/>
    <w:rsid w:val="00C26977"/>
    <w:rsid w:val="00C26B77"/>
    <w:rsid w:val="00C273ED"/>
    <w:rsid w:val="00C27447"/>
    <w:rsid w:val="00C27891"/>
    <w:rsid w:val="00C27D45"/>
    <w:rsid w:val="00C27D6F"/>
    <w:rsid w:val="00C30051"/>
    <w:rsid w:val="00C300F5"/>
    <w:rsid w:val="00C30304"/>
    <w:rsid w:val="00C30395"/>
    <w:rsid w:val="00C30AED"/>
    <w:rsid w:val="00C30BEE"/>
    <w:rsid w:val="00C31073"/>
    <w:rsid w:val="00C314B5"/>
    <w:rsid w:val="00C32532"/>
    <w:rsid w:val="00C32570"/>
    <w:rsid w:val="00C32C1E"/>
    <w:rsid w:val="00C32D53"/>
    <w:rsid w:val="00C32F69"/>
    <w:rsid w:val="00C3312E"/>
    <w:rsid w:val="00C3346E"/>
    <w:rsid w:val="00C337CD"/>
    <w:rsid w:val="00C33CD5"/>
    <w:rsid w:val="00C33D6C"/>
    <w:rsid w:val="00C340CF"/>
    <w:rsid w:val="00C34101"/>
    <w:rsid w:val="00C348FE"/>
    <w:rsid w:val="00C34FBC"/>
    <w:rsid w:val="00C35087"/>
    <w:rsid w:val="00C35140"/>
    <w:rsid w:val="00C3523B"/>
    <w:rsid w:val="00C35947"/>
    <w:rsid w:val="00C3595E"/>
    <w:rsid w:val="00C35C46"/>
    <w:rsid w:val="00C36AA4"/>
    <w:rsid w:val="00C36B6C"/>
    <w:rsid w:val="00C36F37"/>
    <w:rsid w:val="00C36FFE"/>
    <w:rsid w:val="00C40A83"/>
    <w:rsid w:val="00C40D37"/>
    <w:rsid w:val="00C40F06"/>
    <w:rsid w:val="00C40FA8"/>
    <w:rsid w:val="00C412E1"/>
    <w:rsid w:val="00C413EC"/>
    <w:rsid w:val="00C416C9"/>
    <w:rsid w:val="00C416FD"/>
    <w:rsid w:val="00C41E73"/>
    <w:rsid w:val="00C41F28"/>
    <w:rsid w:val="00C41FA0"/>
    <w:rsid w:val="00C424ED"/>
    <w:rsid w:val="00C4271F"/>
    <w:rsid w:val="00C42A6C"/>
    <w:rsid w:val="00C42B60"/>
    <w:rsid w:val="00C43292"/>
    <w:rsid w:val="00C43E4A"/>
    <w:rsid w:val="00C43FD4"/>
    <w:rsid w:val="00C44322"/>
    <w:rsid w:val="00C4445E"/>
    <w:rsid w:val="00C44846"/>
    <w:rsid w:val="00C45A51"/>
    <w:rsid w:val="00C46697"/>
    <w:rsid w:val="00C469E3"/>
    <w:rsid w:val="00C46CCD"/>
    <w:rsid w:val="00C47155"/>
    <w:rsid w:val="00C47466"/>
    <w:rsid w:val="00C47902"/>
    <w:rsid w:val="00C47987"/>
    <w:rsid w:val="00C47B25"/>
    <w:rsid w:val="00C47CD2"/>
    <w:rsid w:val="00C47D56"/>
    <w:rsid w:val="00C47F05"/>
    <w:rsid w:val="00C50B91"/>
    <w:rsid w:val="00C510DE"/>
    <w:rsid w:val="00C51236"/>
    <w:rsid w:val="00C52E4F"/>
    <w:rsid w:val="00C52F64"/>
    <w:rsid w:val="00C53085"/>
    <w:rsid w:val="00C536E4"/>
    <w:rsid w:val="00C538AE"/>
    <w:rsid w:val="00C53C32"/>
    <w:rsid w:val="00C53E7A"/>
    <w:rsid w:val="00C543DD"/>
    <w:rsid w:val="00C54492"/>
    <w:rsid w:val="00C544B6"/>
    <w:rsid w:val="00C54601"/>
    <w:rsid w:val="00C54E26"/>
    <w:rsid w:val="00C54F8F"/>
    <w:rsid w:val="00C556F2"/>
    <w:rsid w:val="00C55D06"/>
    <w:rsid w:val="00C56A84"/>
    <w:rsid w:val="00C573C7"/>
    <w:rsid w:val="00C575E8"/>
    <w:rsid w:val="00C5777E"/>
    <w:rsid w:val="00C57A25"/>
    <w:rsid w:val="00C57A9A"/>
    <w:rsid w:val="00C57EB0"/>
    <w:rsid w:val="00C60984"/>
    <w:rsid w:val="00C60E33"/>
    <w:rsid w:val="00C6105E"/>
    <w:rsid w:val="00C6111A"/>
    <w:rsid w:val="00C615DC"/>
    <w:rsid w:val="00C61801"/>
    <w:rsid w:val="00C618DF"/>
    <w:rsid w:val="00C61F7C"/>
    <w:rsid w:val="00C623F5"/>
    <w:rsid w:val="00C63BD8"/>
    <w:rsid w:val="00C644B1"/>
    <w:rsid w:val="00C65030"/>
    <w:rsid w:val="00C652A1"/>
    <w:rsid w:val="00C655E4"/>
    <w:rsid w:val="00C65738"/>
    <w:rsid w:val="00C6590A"/>
    <w:rsid w:val="00C65FFB"/>
    <w:rsid w:val="00C66663"/>
    <w:rsid w:val="00C668D8"/>
    <w:rsid w:val="00C66AAF"/>
    <w:rsid w:val="00C66BCD"/>
    <w:rsid w:val="00C66E74"/>
    <w:rsid w:val="00C67029"/>
    <w:rsid w:val="00C67091"/>
    <w:rsid w:val="00C6717B"/>
    <w:rsid w:val="00C67CCE"/>
    <w:rsid w:val="00C70B38"/>
    <w:rsid w:val="00C70B43"/>
    <w:rsid w:val="00C70F10"/>
    <w:rsid w:val="00C714F2"/>
    <w:rsid w:val="00C71A56"/>
    <w:rsid w:val="00C72C56"/>
    <w:rsid w:val="00C72FA0"/>
    <w:rsid w:val="00C730CC"/>
    <w:rsid w:val="00C73705"/>
    <w:rsid w:val="00C73E15"/>
    <w:rsid w:val="00C740DE"/>
    <w:rsid w:val="00C7532A"/>
    <w:rsid w:val="00C75721"/>
    <w:rsid w:val="00C760A6"/>
    <w:rsid w:val="00C762B7"/>
    <w:rsid w:val="00C763D3"/>
    <w:rsid w:val="00C7646F"/>
    <w:rsid w:val="00C7676F"/>
    <w:rsid w:val="00C76825"/>
    <w:rsid w:val="00C76D83"/>
    <w:rsid w:val="00C76F95"/>
    <w:rsid w:val="00C7735C"/>
    <w:rsid w:val="00C77B63"/>
    <w:rsid w:val="00C77C4B"/>
    <w:rsid w:val="00C77D3B"/>
    <w:rsid w:val="00C77D50"/>
    <w:rsid w:val="00C77F77"/>
    <w:rsid w:val="00C80834"/>
    <w:rsid w:val="00C80DC6"/>
    <w:rsid w:val="00C815E4"/>
    <w:rsid w:val="00C815F4"/>
    <w:rsid w:val="00C819F5"/>
    <w:rsid w:val="00C822CB"/>
    <w:rsid w:val="00C8290C"/>
    <w:rsid w:val="00C83021"/>
    <w:rsid w:val="00C835DE"/>
    <w:rsid w:val="00C846E6"/>
    <w:rsid w:val="00C84C25"/>
    <w:rsid w:val="00C8512B"/>
    <w:rsid w:val="00C8565C"/>
    <w:rsid w:val="00C858C8"/>
    <w:rsid w:val="00C85A79"/>
    <w:rsid w:val="00C86242"/>
    <w:rsid w:val="00C8632D"/>
    <w:rsid w:val="00C86B22"/>
    <w:rsid w:val="00C86D64"/>
    <w:rsid w:val="00C87CDD"/>
    <w:rsid w:val="00C90817"/>
    <w:rsid w:val="00C909EE"/>
    <w:rsid w:val="00C90E27"/>
    <w:rsid w:val="00C910ED"/>
    <w:rsid w:val="00C91315"/>
    <w:rsid w:val="00C914C9"/>
    <w:rsid w:val="00C9156F"/>
    <w:rsid w:val="00C91878"/>
    <w:rsid w:val="00C91E57"/>
    <w:rsid w:val="00C920BB"/>
    <w:rsid w:val="00C922E8"/>
    <w:rsid w:val="00C923B4"/>
    <w:rsid w:val="00C9291B"/>
    <w:rsid w:val="00C93188"/>
    <w:rsid w:val="00C94446"/>
    <w:rsid w:val="00C944CD"/>
    <w:rsid w:val="00C94A1B"/>
    <w:rsid w:val="00C94EF3"/>
    <w:rsid w:val="00C952A9"/>
    <w:rsid w:val="00C9534F"/>
    <w:rsid w:val="00C95E98"/>
    <w:rsid w:val="00C95F67"/>
    <w:rsid w:val="00C961C0"/>
    <w:rsid w:val="00C965E4"/>
    <w:rsid w:val="00C971B0"/>
    <w:rsid w:val="00C9720C"/>
    <w:rsid w:val="00C9739A"/>
    <w:rsid w:val="00CA0747"/>
    <w:rsid w:val="00CA13BF"/>
    <w:rsid w:val="00CA13F7"/>
    <w:rsid w:val="00CA1463"/>
    <w:rsid w:val="00CA14DE"/>
    <w:rsid w:val="00CA1D38"/>
    <w:rsid w:val="00CA2199"/>
    <w:rsid w:val="00CA2595"/>
    <w:rsid w:val="00CA2A46"/>
    <w:rsid w:val="00CA2A57"/>
    <w:rsid w:val="00CA2C4B"/>
    <w:rsid w:val="00CA30A9"/>
    <w:rsid w:val="00CA35EC"/>
    <w:rsid w:val="00CA3CB4"/>
    <w:rsid w:val="00CA3D36"/>
    <w:rsid w:val="00CA3EC4"/>
    <w:rsid w:val="00CA40DD"/>
    <w:rsid w:val="00CA4249"/>
    <w:rsid w:val="00CA4EF3"/>
    <w:rsid w:val="00CA5426"/>
    <w:rsid w:val="00CA575F"/>
    <w:rsid w:val="00CA57D4"/>
    <w:rsid w:val="00CA619B"/>
    <w:rsid w:val="00CA6F7C"/>
    <w:rsid w:val="00CA783C"/>
    <w:rsid w:val="00CA7C8E"/>
    <w:rsid w:val="00CA7EEF"/>
    <w:rsid w:val="00CB011A"/>
    <w:rsid w:val="00CB0265"/>
    <w:rsid w:val="00CB0652"/>
    <w:rsid w:val="00CB085F"/>
    <w:rsid w:val="00CB095E"/>
    <w:rsid w:val="00CB0A8A"/>
    <w:rsid w:val="00CB0E18"/>
    <w:rsid w:val="00CB138C"/>
    <w:rsid w:val="00CB13CD"/>
    <w:rsid w:val="00CB1BD3"/>
    <w:rsid w:val="00CB21EF"/>
    <w:rsid w:val="00CB26B1"/>
    <w:rsid w:val="00CB2714"/>
    <w:rsid w:val="00CB2824"/>
    <w:rsid w:val="00CB2C75"/>
    <w:rsid w:val="00CB2F95"/>
    <w:rsid w:val="00CB30E7"/>
    <w:rsid w:val="00CB3270"/>
    <w:rsid w:val="00CB3823"/>
    <w:rsid w:val="00CB4DA4"/>
    <w:rsid w:val="00CB4F36"/>
    <w:rsid w:val="00CB4F70"/>
    <w:rsid w:val="00CB557A"/>
    <w:rsid w:val="00CB6108"/>
    <w:rsid w:val="00CB644A"/>
    <w:rsid w:val="00CB65A6"/>
    <w:rsid w:val="00CB6FAF"/>
    <w:rsid w:val="00CB7071"/>
    <w:rsid w:val="00CB75C3"/>
    <w:rsid w:val="00CB75F9"/>
    <w:rsid w:val="00CB7695"/>
    <w:rsid w:val="00CB7D14"/>
    <w:rsid w:val="00CB7D9F"/>
    <w:rsid w:val="00CC07A1"/>
    <w:rsid w:val="00CC0824"/>
    <w:rsid w:val="00CC0840"/>
    <w:rsid w:val="00CC08D7"/>
    <w:rsid w:val="00CC0A9A"/>
    <w:rsid w:val="00CC0E24"/>
    <w:rsid w:val="00CC0EA3"/>
    <w:rsid w:val="00CC156F"/>
    <w:rsid w:val="00CC1AEE"/>
    <w:rsid w:val="00CC1FD3"/>
    <w:rsid w:val="00CC2B9C"/>
    <w:rsid w:val="00CC2BDD"/>
    <w:rsid w:val="00CC30D6"/>
    <w:rsid w:val="00CC326E"/>
    <w:rsid w:val="00CC378A"/>
    <w:rsid w:val="00CC38EE"/>
    <w:rsid w:val="00CC4867"/>
    <w:rsid w:val="00CC566D"/>
    <w:rsid w:val="00CC577F"/>
    <w:rsid w:val="00CC5CA4"/>
    <w:rsid w:val="00CC60CD"/>
    <w:rsid w:val="00CC6AA6"/>
    <w:rsid w:val="00CC6ACF"/>
    <w:rsid w:val="00CC722F"/>
    <w:rsid w:val="00CC726E"/>
    <w:rsid w:val="00CC7476"/>
    <w:rsid w:val="00CC75EE"/>
    <w:rsid w:val="00CD0BAE"/>
    <w:rsid w:val="00CD1017"/>
    <w:rsid w:val="00CD129C"/>
    <w:rsid w:val="00CD12BA"/>
    <w:rsid w:val="00CD181E"/>
    <w:rsid w:val="00CD2688"/>
    <w:rsid w:val="00CD2C45"/>
    <w:rsid w:val="00CD2CD2"/>
    <w:rsid w:val="00CD387C"/>
    <w:rsid w:val="00CD4543"/>
    <w:rsid w:val="00CD474C"/>
    <w:rsid w:val="00CD4E2F"/>
    <w:rsid w:val="00CD548E"/>
    <w:rsid w:val="00CD5589"/>
    <w:rsid w:val="00CD5A1A"/>
    <w:rsid w:val="00CD5A21"/>
    <w:rsid w:val="00CD5CCC"/>
    <w:rsid w:val="00CD5D4D"/>
    <w:rsid w:val="00CD5F46"/>
    <w:rsid w:val="00CD6B16"/>
    <w:rsid w:val="00CD6B5E"/>
    <w:rsid w:val="00CD7045"/>
    <w:rsid w:val="00CD71C4"/>
    <w:rsid w:val="00CD7422"/>
    <w:rsid w:val="00CD7541"/>
    <w:rsid w:val="00CD766F"/>
    <w:rsid w:val="00CE0343"/>
    <w:rsid w:val="00CE0950"/>
    <w:rsid w:val="00CE0FC5"/>
    <w:rsid w:val="00CE11D8"/>
    <w:rsid w:val="00CE1648"/>
    <w:rsid w:val="00CE1A90"/>
    <w:rsid w:val="00CE1BDF"/>
    <w:rsid w:val="00CE1C5C"/>
    <w:rsid w:val="00CE1CA9"/>
    <w:rsid w:val="00CE1E07"/>
    <w:rsid w:val="00CE2567"/>
    <w:rsid w:val="00CE2A65"/>
    <w:rsid w:val="00CE2D19"/>
    <w:rsid w:val="00CE2E49"/>
    <w:rsid w:val="00CE3037"/>
    <w:rsid w:val="00CE32AD"/>
    <w:rsid w:val="00CE3361"/>
    <w:rsid w:val="00CE3435"/>
    <w:rsid w:val="00CE3B9B"/>
    <w:rsid w:val="00CE3F49"/>
    <w:rsid w:val="00CE4946"/>
    <w:rsid w:val="00CE49B0"/>
    <w:rsid w:val="00CE4C3E"/>
    <w:rsid w:val="00CE4D55"/>
    <w:rsid w:val="00CE4EA8"/>
    <w:rsid w:val="00CE5261"/>
    <w:rsid w:val="00CE584B"/>
    <w:rsid w:val="00CE5A0A"/>
    <w:rsid w:val="00CE5D37"/>
    <w:rsid w:val="00CE5DDF"/>
    <w:rsid w:val="00CE6C5C"/>
    <w:rsid w:val="00CE715E"/>
    <w:rsid w:val="00CE72F6"/>
    <w:rsid w:val="00CE73DC"/>
    <w:rsid w:val="00CE7FF2"/>
    <w:rsid w:val="00CF063B"/>
    <w:rsid w:val="00CF0B25"/>
    <w:rsid w:val="00CF0E8B"/>
    <w:rsid w:val="00CF1090"/>
    <w:rsid w:val="00CF12A2"/>
    <w:rsid w:val="00CF12DA"/>
    <w:rsid w:val="00CF1AB9"/>
    <w:rsid w:val="00CF1B03"/>
    <w:rsid w:val="00CF1B1E"/>
    <w:rsid w:val="00CF1E58"/>
    <w:rsid w:val="00CF1F79"/>
    <w:rsid w:val="00CF24DF"/>
    <w:rsid w:val="00CF2B1C"/>
    <w:rsid w:val="00CF2B8E"/>
    <w:rsid w:val="00CF39B2"/>
    <w:rsid w:val="00CF3E3D"/>
    <w:rsid w:val="00CF4060"/>
    <w:rsid w:val="00CF52EB"/>
    <w:rsid w:val="00CF57AF"/>
    <w:rsid w:val="00CF585D"/>
    <w:rsid w:val="00CF5CA8"/>
    <w:rsid w:val="00CF6625"/>
    <w:rsid w:val="00CF6EA9"/>
    <w:rsid w:val="00CF70D5"/>
    <w:rsid w:val="00CF715E"/>
    <w:rsid w:val="00CF72BD"/>
    <w:rsid w:val="00CF767E"/>
    <w:rsid w:val="00CF78C0"/>
    <w:rsid w:val="00CF793A"/>
    <w:rsid w:val="00CF7A51"/>
    <w:rsid w:val="00CF7BB5"/>
    <w:rsid w:val="00D00C54"/>
    <w:rsid w:val="00D0135C"/>
    <w:rsid w:val="00D015A8"/>
    <w:rsid w:val="00D024F9"/>
    <w:rsid w:val="00D027CD"/>
    <w:rsid w:val="00D027F9"/>
    <w:rsid w:val="00D02E46"/>
    <w:rsid w:val="00D032AA"/>
    <w:rsid w:val="00D03A3E"/>
    <w:rsid w:val="00D03B1A"/>
    <w:rsid w:val="00D03D46"/>
    <w:rsid w:val="00D03E97"/>
    <w:rsid w:val="00D04005"/>
    <w:rsid w:val="00D040BB"/>
    <w:rsid w:val="00D05563"/>
    <w:rsid w:val="00D056E9"/>
    <w:rsid w:val="00D05CB6"/>
    <w:rsid w:val="00D05E60"/>
    <w:rsid w:val="00D061FC"/>
    <w:rsid w:val="00D06325"/>
    <w:rsid w:val="00D06DF0"/>
    <w:rsid w:val="00D07684"/>
    <w:rsid w:val="00D076A6"/>
    <w:rsid w:val="00D0789A"/>
    <w:rsid w:val="00D07959"/>
    <w:rsid w:val="00D07F59"/>
    <w:rsid w:val="00D1026B"/>
    <w:rsid w:val="00D104B2"/>
    <w:rsid w:val="00D10986"/>
    <w:rsid w:val="00D11877"/>
    <w:rsid w:val="00D1188C"/>
    <w:rsid w:val="00D11BB2"/>
    <w:rsid w:val="00D11E11"/>
    <w:rsid w:val="00D120DE"/>
    <w:rsid w:val="00D123F2"/>
    <w:rsid w:val="00D124B3"/>
    <w:rsid w:val="00D12D14"/>
    <w:rsid w:val="00D12F1F"/>
    <w:rsid w:val="00D13207"/>
    <w:rsid w:val="00D132AE"/>
    <w:rsid w:val="00D13358"/>
    <w:rsid w:val="00D1342C"/>
    <w:rsid w:val="00D13F37"/>
    <w:rsid w:val="00D1421E"/>
    <w:rsid w:val="00D142DE"/>
    <w:rsid w:val="00D142FA"/>
    <w:rsid w:val="00D143C6"/>
    <w:rsid w:val="00D14873"/>
    <w:rsid w:val="00D14922"/>
    <w:rsid w:val="00D14C06"/>
    <w:rsid w:val="00D14DAF"/>
    <w:rsid w:val="00D151F4"/>
    <w:rsid w:val="00D1564A"/>
    <w:rsid w:val="00D156E5"/>
    <w:rsid w:val="00D15816"/>
    <w:rsid w:val="00D158B3"/>
    <w:rsid w:val="00D15A0B"/>
    <w:rsid w:val="00D15AF0"/>
    <w:rsid w:val="00D15D3B"/>
    <w:rsid w:val="00D16747"/>
    <w:rsid w:val="00D175C7"/>
    <w:rsid w:val="00D17E09"/>
    <w:rsid w:val="00D206FF"/>
    <w:rsid w:val="00D20886"/>
    <w:rsid w:val="00D2104F"/>
    <w:rsid w:val="00D219C1"/>
    <w:rsid w:val="00D22D2E"/>
    <w:rsid w:val="00D22E00"/>
    <w:rsid w:val="00D23C43"/>
    <w:rsid w:val="00D240A6"/>
    <w:rsid w:val="00D24140"/>
    <w:rsid w:val="00D2457C"/>
    <w:rsid w:val="00D251E6"/>
    <w:rsid w:val="00D259B0"/>
    <w:rsid w:val="00D26097"/>
    <w:rsid w:val="00D261C5"/>
    <w:rsid w:val="00D26391"/>
    <w:rsid w:val="00D26972"/>
    <w:rsid w:val="00D2699D"/>
    <w:rsid w:val="00D2769D"/>
    <w:rsid w:val="00D27747"/>
    <w:rsid w:val="00D27B2F"/>
    <w:rsid w:val="00D27BF7"/>
    <w:rsid w:val="00D30729"/>
    <w:rsid w:val="00D30E9C"/>
    <w:rsid w:val="00D30EAF"/>
    <w:rsid w:val="00D30F60"/>
    <w:rsid w:val="00D3127E"/>
    <w:rsid w:val="00D314F6"/>
    <w:rsid w:val="00D31A4F"/>
    <w:rsid w:val="00D31D6C"/>
    <w:rsid w:val="00D31D99"/>
    <w:rsid w:val="00D31FAE"/>
    <w:rsid w:val="00D3229E"/>
    <w:rsid w:val="00D32CDD"/>
    <w:rsid w:val="00D32E0D"/>
    <w:rsid w:val="00D32E5B"/>
    <w:rsid w:val="00D3326D"/>
    <w:rsid w:val="00D333A0"/>
    <w:rsid w:val="00D33748"/>
    <w:rsid w:val="00D33977"/>
    <w:rsid w:val="00D34097"/>
    <w:rsid w:val="00D34174"/>
    <w:rsid w:val="00D3471E"/>
    <w:rsid w:val="00D3544C"/>
    <w:rsid w:val="00D361A1"/>
    <w:rsid w:val="00D36A23"/>
    <w:rsid w:val="00D36D84"/>
    <w:rsid w:val="00D3719F"/>
    <w:rsid w:val="00D371C8"/>
    <w:rsid w:val="00D3731D"/>
    <w:rsid w:val="00D373B0"/>
    <w:rsid w:val="00D376CB"/>
    <w:rsid w:val="00D4061B"/>
    <w:rsid w:val="00D40FCB"/>
    <w:rsid w:val="00D40FD8"/>
    <w:rsid w:val="00D41CAE"/>
    <w:rsid w:val="00D4284F"/>
    <w:rsid w:val="00D431DA"/>
    <w:rsid w:val="00D43450"/>
    <w:rsid w:val="00D434B9"/>
    <w:rsid w:val="00D43926"/>
    <w:rsid w:val="00D43D75"/>
    <w:rsid w:val="00D43F48"/>
    <w:rsid w:val="00D43F90"/>
    <w:rsid w:val="00D44156"/>
    <w:rsid w:val="00D44198"/>
    <w:rsid w:val="00D4427C"/>
    <w:rsid w:val="00D445B3"/>
    <w:rsid w:val="00D449C7"/>
    <w:rsid w:val="00D44AD0"/>
    <w:rsid w:val="00D44BFF"/>
    <w:rsid w:val="00D452A6"/>
    <w:rsid w:val="00D453B5"/>
    <w:rsid w:val="00D45977"/>
    <w:rsid w:val="00D459A9"/>
    <w:rsid w:val="00D46DBF"/>
    <w:rsid w:val="00D46F26"/>
    <w:rsid w:val="00D473E9"/>
    <w:rsid w:val="00D47408"/>
    <w:rsid w:val="00D47591"/>
    <w:rsid w:val="00D50780"/>
    <w:rsid w:val="00D50F4A"/>
    <w:rsid w:val="00D51089"/>
    <w:rsid w:val="00D51095"/>
    <w:rsid w:val="00D5228C"/>
    <w:rsid w:val="00D52E06"/>
    <w:rsid w:val="00D532C4"/>
    <w:rsid w:val="00D533BC"/>
    <w:rsid w:val="00D53650"/>
    <w:rsid w:val="00D53E6A"/>
    <w:rsid w:val="00D54112"/>
    <w:rsid w:val="00D54129"/>
    <w:rsid w:val="00D54B0A"/>
    <w:rsid w:val="00D54DE4"/>
    <w:rsid w:val="00D553C7"/>
    <w:rsid w:val="00D554EA"/>
    <w:rsid w:val="00D5648F"/>
    <w:rsid w:val="00D5651D"/>
    <w:rsid w:val="00D567A0"/>
    <w:rsid w:val="00D56B89"/>
    <w:rsid w:val="00D572D0"/>
    <w:rsid w:val="00D5786C"/>
    <w:rsid w:val="00D57B21"/>
    <w:rsid w:val="00D57B9A"/>
    <w:rsid w:val="00D57D18"/>
    <w:rsid w:val="00D60190"/>
    <w:rsid w:val="00D602D3"/>
    <w:rsid w:val="00D605A5"/>
    <w:rsid w:val="00D605B2"/>
    <w:rsid w:val="00D606A0"/>
    <w:rsid w:val="00D60A2F"/>
    <w:rsid w:val="00D60DAB"/>
    <w:rsid w:val="00D61A8A"/>
    <w:rsid w:val="00D62369"/>
    <w:rsid w:val="00D623AA"/>
    <w:rsid w:val="00D62A24"/>
    <w:rsid w:val="00D62E43"/>
    <w:rsid w:val="00D62FA3"/>
    <w:rsid w:val="00D62FAC"/>
    <w:rsid w:val="00D635B0"/>
    <w:rsid w:val="00D637A9"/>
    <w:rsid w:val="00D63B99"/>
    <w:rsid w:val="00D63BE1"/>
    <w:rsid w:val="00D6403E"/>
    <w:rsid w:val="00D6486B"/>
    <w:rsid w:val="00D65280"/>
    <w:rsid w:val="00D65765"/>
    <w:rsid w:val="00D659F8"/>
    <w:rsid w:val="00D65D96"/>
    <w:rsid w:val="00D6616F"/>
    <w:rsid w:val="00D6699B"/>
    <w:rsid w:val="00D6708E"/>
    <w:rsid w:val="00D7009E"/>
    <w:rsid w:val="00D7068C"/>
    <w:rsid w:val="00D7093C"/>
    <w:rsid w:val="00D70C63"/>
    <w:rsid w:val="00D70CF5"/>
    <w:rsid w:val="00D710C5"/>
    <w:rsid w:val="00D71705"/>
    <w:rsid w:val="00D71888"/>
    <w:rsid w:val="00D71B45"/>
    <w:rsid w:val="00D72258"/>
    <w:rsid w:val="00D722C1"/>
    <w:rsid w:val="00D72437"/>
    <w:rsid w:val="00D726A5"/>
    <w:rsid w:val="00D727AC"/>
    <w:rsid w:val="00D72906"/>
    <w:rsid w:val="00D72AC2"/>
    <w:rsid w:val="00D72CAE"/>
    <w:rsid w:val="00D73D78"/>
    <w:rsid w:val="00D73F28"/>
    <w:rsid w:val="00D73FC7"/>
    <w:rsid w:val="00D74605"/>
    <w:rsid w:val="00D74660"/>
    <w:rsid w:val="00D74797"/>
    <w:rsid w:val="00D74968"/>
    <w:rsid w:val="00D749A7"/>
    <w:rsid w:val="00D749D2"/>
    <w:rsid w:val="00D74D37"/>
    <w:rsid w:val="00D74D9B"/>
    <w:rsid w:val="00D74F2E"/>
    <w:rsid w:val="00D750A2"/>
    <w:rsid w:val="00D75650"/>
    <w:rsid w:val="00D756E6"/>
    <w:rsid w:val="00D756E8"/>
    <w:rsid w:val="00D75B68"/>
    <w:rsid w:val="00D76F8C"/>
    <w:rsid w:val="00D779E7"/>
    <w:rsid w:val="00D801EB"/>
    <w:rsid w:val="00D80747"/>
    <w:rsid w:val="00D8099F"/>
    <w:rsid w:val="00D809FF"/>
    <w:rsid w:val="00D80E48"/>
    <w:rsid w:val="00D810F2"/>
    <w:rsid w:val="00D811DC"/>
    <w:rsid w:val="00D81285"/>
    <w:rsid w:val="00D818EC"/>
    <w:rsid w:val="00D81B9A"/>
    <w:rsid w:val="00D81EC5"/>
    <w:rsid w:val="00D81F38"/>
    <w:rsid w:val="00D822C6"/>
    <w:rsid w:val="00D82522"/>
    <w:rsid w:val="00D82890"/>
    <w:rsid w:val="00D82D27"/>
    <w:rsid w:val="00D83B39"/>
    <w:rsid w:val="00D83CCC"/>
    <w:rsid w:val="00D843D6"/>
    <w:rsid w:val="00D84843"/>
    <w:rsid w:val="00D85237"/>
    <w:rsid w:val="00D853C2"/>
    <w:rsid w:val="00D85475"/>
    <w:rsid w:val="00D85566"/>
    <w:rsid w:val="00D85A2F"/>
    <w:rsid w:val="00D85A69"/>
    <w:rsid w:val="00D85FF7"/>
    <w:rsid w:val="00D8645C"/>
    <w:rsid w:val="00D86605"/>
    <w:rsid w:val="00D8708B"/>
    <w:rsid w:val="00D87A9E"/>
    <w:rsid w:val="00D87BDC"/>
    <w:rsid w:val="00D87CC9"/>
    <w:rsid w:val="00D9065E"/>
    <w:rsid w:val="00D9096B"/>
    <w:rsid w:val="00D90B19"/>
    <w:rsid w:val="00D90B9F"/>
    <w:rsid w:val="00D90D1C"/>
    <w:rsid w:val="00D90D5C"/>
    <w:rsid w:val="00D90ED4"/>
    <w:rsid w:val="00D90FF0"/>
    <w:rsid w:val="00D91080"/>
    <w:rsid w:val="00D91838"/>
    <w:rsid w:val="00D91E5A"/>
    <w:rsid w:val="00D920E8"/>
    <w:rsid w:val="00D92722"/>
    <w:rsid w:val="00D92BF2"/>
    <w:rsid w:val="00D93295"/>
    <w:rsid w:val="00D9335B"/>
    <w:rsid w:val="00D93D5D"/>
    <w:rsid w:val="00D93DAF"/>
    <w:rsid w:val="00D941AE"/>
    <w:rsid w:val="00D94BA4"/>
    <w:rsid w:val="00D94E5E"/>
    <w:rsid w:val="00D94F2C"/>
    <w:rsid w:val="00D9518F"/>
    <w:rsid w:val="00D9542D"/>
    <w:rsid w:val="00D954BD"/>
    <w:rsid w:val="00D95FB3"/>
    <w:rsid w:val="00D96138"/>
    <w:rsid w:val="00D965AB"/>
    <w:rsid w:val="00D96B07"/>
    <w:rsid w:val="00D96BD2"/>
    <w:rsid w:val="00D96C5E"/>
    <w:rsid w:val="00D974EC"/>
    <w:rsid w:val="00D97594"/>
    <w:rsid w:val="00D97956"/>
    <w:rsid w:val="00DA002B"/>
    <w:rsid w:val="00DA0351"/>
    <w:rsid w:val="00DA037D"/>
    <w:rsid w:val="00DA0417"/>
    <w:rsid w:val="00DA059A"/>
    <w:rsid w:val="00DA0676"/>
    <w:rsid w:val="00DA077F"/>
    <w:rsid w:val="00DA08F0"/>
    <w:rsid w:val="00DA0F27"/>
    <w:rsid w:val="00DA156A"/>
    <w:rsid w:val="00DA1DA8"/>
    <w:rsid w:val="00DA22C1"/>
    <w:rsid w:val="00DA24B0"/>
    <w:rsid w:val="00DA2582"/>
    <w:rsid w:val="00DA2694"/>
    <w:rsid w:val="00DA38BB"/>
    <w:rsid w:val="00DA3CF1"/>
    <w:rsid w:val="00DA3E6B"/>
    <w:rsid w:val="00DA3F3F"/>
    <w:rsid w:val="00DA4B0E"/>
    <w:rsid w:val="00DA50E4"/>
    <w:rsid w:val="00DA5BEB"/>
    <w:rsid w:val="00DA621A"/>
    <w:rsid w:val="00DA66B1"/>
    <w:rsid w:val="00DA69F8"/>
    <w:rsid w:val="00DA6BFD"/>
    <w:rsid w:val="00DA7261"/>
    <w:rsid w:val="00DA7529"/>
    <w:rsid w:val="00DA7645"/>
    <w:rsid w:val="00DA7696"/>
    <w:rsid w:val="00DA7BD5"/>
    <w:rsid w:val="00DA7E15"/>
    <w:rsid w:val="00DA7EE0"/>
    <w:rsid w:val="00DA7FC8"/>
    <w:rsid w:val="00DB02FF"/>
    <w:rsid w:val="00DB03D9"/>
    <w:rsid w:val="00DB0B92"/>
    <w:rsid w:val="00DB10BD"/>
    <w:rsid w:val="00DB1433"/>
    <w:rsid w:val="00DB197C"/>
    <w:rsid w:val="00DB1AAF"/>
    <w:rsid w:val="00DB1F14"/>
    <w:rsid w:val="00DB26B5"/>
    <w:rsid w:val="00DB2E31"/>
    <w:rsid w:val="00DB3071"/>
    <w:rsid w:val="00DB31ED"/>
    <w:rsid w:val="00DB35F3"/>
    <w:rsid w:val="00DB3AA0"/>
    <w:rsid w:val="00DB3C49"/>
    <w:rsid w:val="00DB41B9"/>
    <w:rsid w:val="00DB42C2"/>
    <w:rsid w:val="00DB434B"/>
    <w:rsid w:val="00DB444B"/>
    <w:rsid w:val="00DB4459"/>
    <w:rsid w:val="00DB4628"/>
    <w:rsid w:val="00DB4714"/>
    <w:rsid w:val="00DB4788"/>
    <w:rsid w:val="00DB493A"/>
    <w:rsid w:val="00DB4D04"/>
    <w:rsid w:val="00DB4F72"/>
    <w:rsid w:val="00DB510A"/>
    <w:rsid w:val="00DB5178"/>
    <w:rsid w:val="00DB520C"/>
    <w:rsid w:val="00DB5386"/>
    <w:rsid w:val="00DB5ABE"/>
    <w:rsid w:val="00DB5E7F"/>
    <w:rsid w:val="00DB6292"/>
    <w:rsid w:val="00DB632B"/>
    <w:rsid w:val="00DB6586"/>
    <w:rsid w:val="00DB67E7"/>
    <w:rsid w:val="00DB68BB"/>
    <w:rsid w:val="00DB6D2C"/>
    <w:rsid w:val="00DB6F55"/>
    <w:rsid w:val="00DB7289"/>
    <w:rsid w:val="00DB77FB"/>
    <w:rsid w:val="00DB7806"/>
    <w:rsid w:val="00DB7F10"/>
    <w:rsid w:val="00DC1524"/>
    <w:rsid w:val="00DC1605"/>
    <w:rsid w:val="00DC1889"/>
    <w:rsid w:val="00DC1CA3"/>
    <w:rsid w:val="00DC2270"/>
    <w:rsid w:val="00DC2A33"/>
    <w:rsid w:val="00DC2ABD"/>
    <w:rsid w:val="00DC2DE8"/>
    <w:rsid w:val="00DC305E"/>
    <w:rsid w:val="00DC31CB"/>
    <w:rsid w:val="00DC3214"/>
    <w:rsid w:val="00DC328E"/>
    <w:rsid w:val="00DC3537"/>
    <w:rsid w:val="00DC3579"/>
    <w:rsid w:val="00DC3A57"/>
    <w:rsid w:val="00DC3E0F"/>
    <w:rsid w:val="00DC41D8"/>
    <w:rsid w:val="00DC42FB"/>
    <w:rsid w:val="00DC43AE"/>
    <w:rsid w:val="00DC466F"/>
    <w:rsid w:val="00DC4841"/>
    <w:rsid w:val="00DC51EE"/>
    <w:rsid w:val="00DC5533"/>
    <w:rsid w:val="00DC5770"/>
    <w:rsid w:val="00DC59D7"/>
    <w:rsid w:val="00DC6198"/>
    <w:rsid w:val="00DC6D48"/>
    <w:rsid w:val="00DC6E13"/>
    <w:rsid w:val="00DC6E1B"/>
    <w:rsid w:val="00DC702A"/>
    <w:rsid w:val="00DC71FE"/>
    <w:rsid w:val="00DC75BB"/>
    <w:rsid w:val="00DC7B5D"/>
    <w:rsid w:val="00DC7EBE"/>
    <w:rsid w:val="00DD0724"/>
    <w:rsid w:val="00DD0DA2"/>
    <w:rsid w:val="00DD0F3F"/>
    <w:rsid w:val="00DD12EF"/>
    <w:rsid w:val="00DD1418"/>
    <w:rsid w:val="00DD157D"/>
    <w:rsid w:val="00DD158F"/>
    <w:rsid w:val="00DD16FB"/>
    <w:rsid w:val="00DD1B57"/>
    <w:rsid w:val="00DD1E51"/>
    <w:rsid w:val="00DD1E9E"/>
    <w:rsid w:val="00DD206A"/>
    <w:rsid w:val="00DD232B"/>
    <w:rsid w:val="00DD235A"/>
    <w:rsid w:val="00DD2381"/>
    <w:rsid w:val="00DD2B1D"/>
    <w:rsid w:val="00DD367D"/>
    <w:rsid w:val="00DD3821"/>
    <w:rsid w:val="00DD391B"/>
    <w:rsid w:val="00DD45D3"/>
    <w:rsid w:val="00DD487B"/>
    <w:rsid w:val="00DD48F3"/>
    <w:rsid w:val="00DD4E0C"/>
    <w:rsid w:val="00DD5236"/>
    <w:rsid w:val="00DD5A2A"/>
    <w:rsid w:val="00DD662B"/>
    <w:rsid w:val="00DD6C92"/>
    <w:rsid w:val="00DD6F96"/>
    <w:rsid w:val="00DD7BD4"/>
    <w:rsid w:val="00DE00CE"/>
    <w:rsid w:val="00DE01AB"/>
    <w:rsid w:val="00DE0B85"/>
    <w:rsid w:val="00DE119F"/>
    <w:rsid w:val="00DE12BD"/>
    <w:rsid w:val="00DE1532"/>
    <w:rsid w:val="00DE179B"/>
    <w:rsid w:val="00DE2323"/>
    <w:rsid w:val="00DE292D"/>
    <w:rsid w:val="00DE2AA3"/>
    <w:rsid w:val="00DE30BE"/>
    <w:rsid w:val="00DE30D1"/>
    <w:rsid w:val="00DE3B74"/>
    <w:rsid w:val="00DE3C3F"/>
    <w:rsid w:val="00DE3D3F"/>
    <w:rsid w:val="00DE40F7"/>
    <w:rsid w:val="00DE44B1"/>
    <w:rsid w:val="00DE46E0"/>
    <w:rsid w:val="00DE47DF"/>
    <w:rsid w:val="00DE4D21"/>
    <w:rsid w:val="00DE5032"/>
    <w:rsid w:val="00DE5EA6"/>
    <w:rsid w:val="00DE5F41"/>
    <w:rsid w:val="00DE61FB"/>
    <w:rsid w:val="00DE6425"/>
    <w:rsid w:val="00DE6B6A"/>
    <w:rsid w:val="00DE6BCA"/>
    <w:rsid w:val="00DE6D9D"/>
    <w:rsid w:val="00DE6EFC"/>
    <w:rsid w:val="00DE730F"/>
    <w:rsid w:val="00DE731D"/>
    <w:rsid w:val="00DE73FD"/>
    <w:rsid w:val="00DE77EA"/>
    <w:rsid w:val="00DE7A1D"/>
    <w:rsid w:val="00DE7CAB"/>
    <w:rsid w:val="00DF0A8D"/>
    <w:rsid w:val="00DF0CBA"/>
    <w:rsid w:val="00DF0E97"/>
    <w:rsid w:val="00DF0E9F"/>
    <w:rsid w:val="00DF11F0"/>
    <w:rsid w:val="00DF1956"/>
    <w:rsid w:val="00DF19A5"/>
    <w:rsid w:val="00DF19ED"/>
    <w:rsid w:val="00DF1AD2"/>
    <w:rsid w:val="00DF1D62"/>
    <w:rsid w:val="00DF2170"/>
    <w:rsid w:val="00DF2912"/>
    <w:rsid w:val="00DF2A8C"/>
    <w:rsid w:val="00DF2D89"/>
    <w:rsid w:val="00DF2E20"/>
    <w:rsid w:val="00DF2FC2"/>
    <w:rsid w:val="00DF384E"/>
    <w:rsid w:val="00DF3D62"/>
    <w:rsid w:val="00DF432F"/>
    <w:rsid w:val="00DF50DE"/>
    <w:rsid w:val="00DF572E"/>
    <w:rsid w:val="00DF596A"/>
    <w:rsid w:val="00DF5F36"/>
    <w:rsid w:val="00DF6DA6"/>
    <w:rsid w:val="00DF708D"/>
    <w:rsid w:val="00DF751C"/>
    <w:rsid w:val="00DF7EB3"/>
    <w:rsid w:val="00DF7EB8"/>
    <w:rsid w:val="00DF7F69"/>
    <w:rsid w:val="00E0029F"/>
    <w:rsid w:val="00E0031E"/>
    <w:rsid w:val="00E006E6"/>
    <w:rsid w:val="00E00793"/>
    <w:rsid w:val="00E008A2"/>
    <w:rsid w:val="00E00FD5"/>
    <w:rsid w:val="00E01284"/>
    <w:rsid w:val="00E014D9"/>
    <w:rsid w:val="00E014E0"/>
    <w:rsid w:val="00E01956"/>
    <w:rsid w:val="00E01ED2"/>
    <w:rsid w:val="00E02047"/>
    <w:rsid w:val="00E023E5"/>
    <w:rsid w:val="00E02837"/>
    <w:rsid w:val="00E03C88"/>
    <w:rsid w:val="00E03CE0"/>
    <w:rsid w:val="00E04158"/>
    <w:rsid w:val="00E0443C"/>
    <w:rsid w:val="00E0482D"/>
    <w:rsid w:val="00E04B4F"/>
    <w:rsid w:val="00E0555F"/>
    <w:rsid w:val="00E05929"/>
    <w:rsid w:val="00E06BCE"/>
    <w:rsid w:val="00E06F24"/>
    <w:rsid w:val="00E06FD6"/>
    <w:rsid w:val="00E074C1"/>
    <w:rsid w:val="00E07B79"/>
    <w:rsid w:val="00E07CDC"/>
    <w:rsid w:val="00E1006A"/>
    <w:rsid w:val="00E105B9"/>
    <w:rsid w:val="00E1079E"/>
    <w:rsid w:val="00E10F6A"/>
    <w:rsid w:val="00E112FA"/>
    <w:rsid w:val="00E12B30"/>
    <w:rsid w:val="00E12CED"/>
    <w:rsid w:val="00E136DA"/>
    <w:rsid w:val="00E13762"/>
    <w:rsid w:val="00E137D4"/>
    <w:rsid w:val="00E13D2C"/>
    <w:rsid w:val="00E13EE3"/>
    <w:rsid w:val="00E145C3"/>
    <w:rsid w:val="00E148CD"/>
    <w:rsid w:val="00E14B0F"/>
    <w:rsid w:val="00E14E22"/>
    <w:rsid w:val="00E14FF5"/>
    <w:rsid w:val="00E15260"/>
    <w:rsid w:val="00E15513"/>
    <w:rsid w:val="00E15713"/>
    <w:rsid w:val="00E15A59"/>
    <w:rsid w:val="00E16682"/>
    <w:rsid w:val="00E1678A"/>
    <w:rsid w:val="00E16BCC"/>
    <w:rsid w:val="00E17549"/>
    <w:rsid w:val="00E176E4"/>
    <w:rsid w:val="00E17ACF"/>
    <w:rsid w:val="00E17BAE"/>
    <w:rsid w:val="00E17E85"/>
    <w:rsid w:val="00E17E99"/>
    <w:rsid w:val="00E2002A"/>
    <w:rsid w:val="00E2029D"/>
    <w:rsid w:val="00E2055A"/>
    <w:rsid w:val="00E20D7C"/>
    <w:rsid w:val="00E21F2D"/>
    <w:rsid w:val="00E22A26"/>
    <w:rsid w:val="00E22DD9"/>
    <w:rsid w:val="00E22EAA"/>
    <w:rsid w:val="00E2307E"/>
    <w:rsid w:val="00E2336E"/>
    <w:rsid w:val="00E23655"/>
    <w:rsid w:val="00E23AB9"/>
    <w:rsid w:val="00E23AC4"/>
    <w:rsid w:val="00E23D59"/>
    <w:rsid w:val="00E23ED2"/>
    <w:rsid w:val="00E2427B"/>
    <w:rsid w:val="00E2456D"/>
    <w:rsid w:val="00E256F7"/>
    <w:rsid w:val="00E25995"/>
    <w:rsid w:val="00E25AB1"/>
    <w:rsid w:val="00E25D57"/>
    <w:rsid w:val="00E26257"/>
    <w:rsid w:val="00E264AD"/>
    <w:rsid w:val="00E26A60"/>
    <w:rsid w:val="00E26D47"/>
    <w:rsid w:val="00E26FFC"/>
    <w:rsid w:val="00E27074"/>
    <w:rsid w:val="00E274C7"/>
    <w:rsid w:val="00E2777E"/>
    <w:rsid w:val="00E27E1C"/>
    <w:rsid w:val="00E300F2"/>
    <w:rsid w:val="00E30B66"/>
    <w:rsid w:val="00E30BF9"/>
    <w:rsid w:val="00E31228"/>
    <w:rsid w:val="00E31966"/>
    <w:rsid w:val="00E31DC2"/>
    <w:rsid w:val="00E3203D"/>
    <w:rsid w:val="00E32AE4"/>
    <w:rsid w:val="00E32D6A"/>
    <w:rsid w:val="00E32FD0"/>
    <w:rsid w:val="00E33396"/>
    <w:rsid w:val="00E335C5"/>
    <w:rsid w:val="00E33D24"/>
    <w:rsid w:val="00E33D9F"/>
    <w:rsid w:val="00E33E8E"/>
    <w:rsid w:val="00E34706"/>
    <w:rsid w:val="00E347F0"/>
    <w:rsid w:val="00E349B8"/>
    <w:rsid w:val="00E34ED4"/>
    <w:rsid w:val="00E35580"/>
    <w:rsid w:val="00E35F8F"/>
    <w:rsid w:val="00E3626F"/>
    <w:rsid w:val="00E36548"/>
    <w:rsid w:val="00E36DD5"/>
    <w:rsid w:val="00E36E11"/>
    <w:rsid w:val="00E3751A"/>
    <w:rsid w:val="00E377A6"/>
    <w:rsid w:val="00E37BF6"/>
    <w:rsid w:val="00E4005E"/>
    <w:rsid w:val="00E40A1E"/>
    <w:rsid w:val="00E41A5B"/>
    <w:rsid w:val="00E41CF2"/>
    <w:rsid w:val="00E41D23"/>
    <w:rsid w:val="00E4297F"/>
    <w:rsid w:val="00E4300C"/>
    <w:rsid w:val="00E43041"/>
    <w:rsid w:val="00E43533"/>
    <w:rsid w:val="00E438F7"/>
    <w:rsid w:val="00E43AA0"/>
    <w:rsid w:val="00E43E29"/>
    <w:rsid w:val="00E43EE5"/>
    <w:rsid w:val="00E4454B"/>
    <w:rsid w:val="00E4466B"/>
    <w:rsid w:val="00E44ACD"/>
    <w:rsid w:val="00E44CB9"/>
    <w:rsid w:val="00E45343"/>
    <w:rsid w:val="00E453C9"/>
    <w:rsid w:val="00E45B97"/>
    <w:rsid w:val="00E46081"/>
    <w:rsid w:val="00E46852"/>
    <w:rsid w:val="00E46AB1"/>
    <w:rsid w:val="00E47134"/>
    <w:rsid w:val="00E479FF"/>
    <w:rsid w:val="00E47E39"/>
    <w:rsid w:val="00E50DE5"/>
    <w:rsid w:val="00E510A0"/>
    <w:rsid w:val="00E511DA"/>
    <w:rsid w:val="00E51392"/>
    <w:rsid w:val="00E513F1"/>
    <w:rsid w:val="00E515B1"/>
    <w:rsid w:val="00E51662"/>
    <w:rsid w:val="00E523CB"/>
    <w:rsid w:val="00E5269A"/>
    <w:rsid w:val="00E531DD"/>
    <w:rsid w:val="00E535D1"/>
    <w:rsid w:val="00E536FC"/>
    <w:rsid w:val="00E53AA6"/>
    <w:rsid w:val="00E53C6C"/>
    <w:rsid w:val="00E53CB2"/>
    <w:rsid w:val="00E53D6A"/>
    <w:rsid w:val="00E53EE8"/>
    <w:rsid w:val="00E545D3"/>
    <w:rsid w:val="00E54898"/>
    <w:rsid w:val="00E548F2"/>
    <w:rsid w:val="00E55558"/>
    <w:rsid w:val="00E557EE"/>
    <w:rsid w:val="00E55BB8"/>
    <w:rsid w:val="00E56344"/>
    <w:rsid w:val="00E56BC8"/>
    <w:rsid w:val="00E57E87"/>
    <w:rsid w:val="00E57EAF"/>
    <w:rsid w:val="00E60DE1"/>
    <w:rsid w:val="00E61076"/>
    <w:rsid w:val="00E61812"/>
    <w:rsid w:val="00E618D1"/>
    <w:rsid w:val="00E61A15"/>
    <w:rsid w:val="00E61C1E"/>
    <w:rsid w:val="00E61C5E"/>
    <w:rsid w:val="00E626C5"/>
    <w:rsid w:val="00E62CF0"/>
    <w:rsid w:val="00E62E5D"/>
    <w:rsid w:val="00E63096"/>
    <w:rsid w:val="00E6446D"/>
    <w:rsid w:val="00E64558"/>
    <w:rsid w:val="00E64B76"/>
    <w:rsid w:val="00E65073"/>
    <w:rsid w:val="00E659FC"/>
    <w:rsid w:val="00E65AAC"/>
    <w:rsid w:val="00E65E8C"/>
    <w:rsid w:val="00E65F87"/>
    <w:rsid w:val="00E66098"/>
    <w:rsid w:val="00E66800"/>
    <w:rsid w:val="00E66A2B"/>
    <w:rsid w:val="00E66D78"/>
    <w:rsid w:val="00E66DCD"/>
    <w:rsid w:val="00E673C1"/>
    <w:rsid w:val="00E67592"/>
    <w:rsid w:val="00E67C5C"/>
    <w:rsid w:val="00E67CFF"/>
    <w:rsid w:val="00E67E55"/>
    <w:rsid w:val="00E70504"/>
    <w:rsid w:val="00E71198"/>
    <w:rsid w:val="00E71AC9"/>
    <w:rsid w:val="00E71D91"/>
    <w:rsid w:val="00E71E4F"/>
    <w:rsid w:val="00E72231"/>
    <w:rsid w:val="00E72486"/>
    <w:rsid w:val="00E724EF"/>
    <w:rsid w:val="00E7250A"/>
    <w:rsid w:val="00E7264E"/>
    <w:rsid w:val="00E72651"/>
    <w:rsid w:val="00E7364E"/>
    <w:rsid w:val="00E73957"/>
    <w:rsid w:val="00E73C90"/>
    <w:rsid w:val="00E73D3A"/>
    <w:rsid w:val="00E7412C"/>
    <w:rsid w:val="00E743A1"/>
    <w:rsid w:val="00E74513"/>
    <w:rsid w:val="00E74688"/>
    <w:rsid w:val="00E7491F"/>
    <w:rsid w:val="00E74BC5"/>
    <w:rsid w:val="00E74F05"/>
    <w:rsid w:val="00E7518B"/>
    <w:rsid w:val="00E755A5"/>
    <w:rsid w:val="00E757B9"/>
    <w:rsid w:val="00E7593F"/>
    <w:rsid w:val="00E75EA2"/>
    <w:rsid w:val="00E76497"/>
    <w:rsid w:val="00E76C33"/>
    <w:rsid w:val="00E778F9"/>
    <w:rsid w:val="00E8011B"/>
    <w:rsid w:val="00E801FE"/>
    <w:rsid w:val="00E80768"/>
    <w:rsid w:val="00E80C67"/>
    <w:rsid w:val="00E80C9F"/>
    <w:rsid w:val="00E80E1E"/>
    <w:rsid w:val="00E81225"/>
    <w:rsid w:val="00E81C6E"/>
    <w:rsid w:val="00E82135"/>
    <w:rsid w:val="00E82862"/>
    <w:rsid w:val="00E82CA0"/>
    <w:rsid w:val="00E82E17"/>
    <w:rsid w:val="00E82E8A"/>
    <w:rsid w:val="00E84324"/>
    <w:rsid w:val="00E84AD4"/>
    <w:rsid w:val="00E84D20"/>
    <w:rsid w:val="00E84FEB"/>
    <w:rsid w:val="00E8534F"/>
    <w:rsid w:val="00E854EA"/>
    <w:rsid w:val="00E85EC9"/>
    <w:rsid w:val="00E860EE"/>
    <w:rsid w:val="00E86456"/>
    <w:rsid w:val="00E86BAE"/>
    <w:rsid w:val="00E876A3"/>
    <w:rsid w:val="00E87894"/>
    <w:rsid w:val="00E87DC5"/>
    <w:rsid w:val="00E903A5"/>
    <w:rsid w:val="00E90400"/>
    <w:rsid w:val="00E9087E"/>
    <w:rsid w:val="00E90A19"/>
    <w:rsid w:val="00E912AA"/>
    <w:rsid w:val="00E91460"/>
    <w:rsid w:val="00E915F1"/>
    <w:rsid w:val="00E9182A"/>
    <w:rsid w:val="00E91C42"/>
    <w:rsid w:val="00E91E5D"/>
    <w:rsid w:val="00E92341"/>
    <w:rsid w:val="00E92BD2"/>
    <w:rsid w:val="00E93635"/>
    <w:rsid w:val="00E93AD7"/>
    <w:rsid w:val="00E93E2E"/>
    <w:rsid w:val="00E94225"/>
    <w:rsid w:val="00E94250"/>
    <w:rsid w:val="00E943A6"/>
    <w:rsid w:val="00E9456F"/>
    <w:rsid w:val="00E94B18"/>
    <w:rsid w:val="00E94F06"/>
    <w:rsid w:val="00E95243"/>
    <w:rsid w:val="00E956CB"/>
    <w:rsid w:val="00E958AD"/>
    <w:rsid w:val="00E960B8"/>
    <w:rsid w:val="00E9628F"/>
    <w:rsid w:val="00E96AEE"/>
    <w:rsid w:val="00E96D1C"/>
    <w:rsid w:val="00E97375"/>
    <w:rsid w:val="00E977CB"/>
    <w:rsid w:val="00E977CE"/>
    <w:rsid w:val="00E97836"/>
    <w:rsid w:val="00E97990"/>
    <w:rsid w:val="00E97D2F"/>
    <w:rsid w:val="00E97EA7"/>
    <w:rsid w:val="00E97FB1"/>
    <w:rsid w:val="00EA0ADD"/>
    <w:rsid w:val="00EA0E67"/>
    <w:rsid w:val="00EA1514"/>
    <w:rsid w:val="00EA16E1"/>
    <w:rsid w:val="00EA170C"/>
    <w:rsid w:val="00EA174F"/>
    <w:rsid w:val="00EA1767"/>
    <w:rsid w:val="00EA1F8E"/>
    <w:rsid w:val="00EA21F6"/>
    <w:rsid w:val="00EA2360"/>
    <w:rsid w:val="00EA272B"/>
    <w:rsid w:val="00EA2772"/>
    <w:rsid w:val="00EA27C6"/>
    <w:rsid w:val="00EA2F5D"/>
    <w:rsid w:val="00EA2FE2"/>
    <w:rsid w:val="00EA301E"/>
    <w:rsid w:val="00EA34AC"/>
    <w:rsid w:val="00EA3BA1"/>
    <w:rsid w:val="00EA3D5F"/>
    <w:rsid w:val="00EA41B9"/>
    <w:rsid w:val="00EA449C"/>
    <w:rsid w:val="00EA4801"/>
    <w:rsid w:val="00EA4DCF"/>
    <w:rsid w:val="00EA4EB5"/>
    <w:rsid w:val="00EA4F1E"/>
    <w:rsid w:val="00EA4F7D"/>
    <w:rsid w:val="00EA5F9C"/>
    <w:rsid w:val="00EA633B"/>
    <w:rsid w:val="00EA659C"/>
    <w:rsid w:val="00EA684E"/>
    <w:rsid w:val="00EA6C94"/>
    <w:rsid w:val="00EA6CA0"/>
    <w:rsid w:val="00EA7206"/>
    <w:rsid w:val="00EA78E0"/>
    <w:rsid w:val="00EB08A1"/>
    <w:rsid w:val="00EB0A68"/>
    <w:rsid w:val="00EB0E44"/>
    <w:rsid w:val="00EB0E6A"/>
    <w:rsid w:val="00EB0FE6"/>
    <w:rsid w:val="00EB1539"/>
    <w:rsid w:val="00EB16EB"/>
    <w:rsid w:val="00EB182C"/>
    <w:rsid w:val="00EB1937"/>
    <w:rsid w:val="00EB19D9"/>
    <w:rsid w:val="00EB1A00"/>
    <w:rsid w:val="00EB1FE4"/>
    <w:rsid w:val="00EB2287"/>
    <w:rsid w:val="00EB269D"/>
    <w:rsid w:val="00EB2E2E"/>
    <w:rsid w:val="00EB30E8"/>
    <w:rsid w:val="00EB344E"/>
    <w:rsid w:val="00EB397E"/>
    <w:rsid w:val="00EB3C70"/>
    <w:rsid w:val="00EB400A"/>
    <w:rsid w:val="00EB42B4"/>
    <w:rsid w:val="00EB45D7"/>
    <w:rsid w:val="00EB47B3"/>
    <w:rsid w:val="00EB4926"/>
    <w:rsid w:val="00EB4B58"/>
    <w:rsid w:val="00EB4E5F"/>
    <w:rsid w:val="00EB5197"/>
    <w:rsid w:val="00EB51AD"/>
    <w:rsid w:val="00EB5629"/>
    <w:rsid w:val="00EB5734"/>
    <w:rsid w:val="00EB69DC"/>
    <w:rsid w:val="00EB6CEB"/>
    <w:rsid w:val="00EB7133"/>
    <w:rsid w:val="00EB75E2"/>
    <w:rsid w:val="00EB75EB"/>
    <w:rsid w:val="00EB7605"/>
    <w:rsid w:val="00EB76CB"/>
    <w:rsid w:val="00EB7B1F"/>
    <w:rsid w:val="00EB7D10"/>
    <w:rsid w:val="00EC01EA"/>
    <w:rsid w:val="00EC0655"/>
    <w:rsid w:val="00EC089D"/>
    <w:rsid w:val="00EC0DD3"/>
    <w:rsid w:val="00EC101A"/>
    <w:rsid w:val="00EC1394"/>
    <w:rsid w:val="00EC1E5C"/>
    <w:rsid w:val="00EC20D7"/>
    <w:rsid w:val="00EC226A"/>
    <w:rsid w:val="00EC229B"/>
    <w:rsid w:val="00EC25B6"/>
    <w:rsid w:val="00EC28DD"/>
    <w:rsid w:val="00EC2A54"/>
    <w:rsid w:val="00EC2B80"/>
    <w:rsid w:val="00EC2EE6"/>
    <w:rsid w:val="00EC2F7B"/>
    <w:rsid w:val="00EC3012"/>
    <w:rsid w:val="00EC3713"/>
    <w:rsid w:val="00EC3780"/>
    <w:rsid w:val="00EC37A0"/>
    <w:rsid w:val="00EC3FA5"/>
    <w:rsid w:val="00EC44B6"/>
    <w:rsid w:val="00EC552D"/>
    <w:rsid w:val="00EC5B93"/>
    <w:rsid w:val="00EC64A1"/>
    <w:rsid w:val="00EC6506"/>
    <w:rsid w:val="00EC69DD"/>
    <w:rsid w:val="00EC6FCF"/>
    <w:rsid w:val="00EC758F"/>
    <w:rsid w:val="00EC774B"/>
    <w:rsid w:val="00EC7B32"/>
    <w:rsid w:val="00EC7F83"/>
    <w:rsid w:val="00ED013B"/>
    <w:rsid w:val="00ED0D50"/>
    <w:rsid w:val="00ED0E0A"/>
    <w:rsid w:val="00ED1009"/>
    <w:rsid w:val="00ED13EB"/>
    <w:rsid w:val="00ED1462"/>
    <w:rsid w:val="00ED14A1"/>
    <w:rsid w:val="00ED14D7"/>
    <w:rsid w:val="00ED17FA"/>
    <w:rsid w:val="00ED1856"/>
    <w:rsid w:val="00ED24B6"/>
    <w:rsid w:val="00ED25D2"/>
    <w:rsid w:val="00ED281D"/>
    <w:rsid w:val="00ED3188"/>
    <w:rsid w:val="00ED333A"/>
    <w:rsid w:val="00ED35A5"/>
    <w:rsid w:val="00ED35C0"/>
    <w:rsid w:val="00ED3A5B"/>
    <w:rsid w:val="00ED3F0E"/>
    <w:rsid w:val="00ED3F38"/>
    <w:rsid w:val="00ED4124"/>
    <w:rsid w:val="00ED4269"/>
    <w:rsid w:val="00ED43FE"/>
    <w:rsid w:val="00ED462A"/>
    <w:rsid w:val="00ED49DF"/>
    <w:rsid w:val="00ED5030"/>
    <w:rsid w:val="00ED5424"/>
    <w:rsid w:val="00ED547D"/>
    <w:rsid w:val="00ED596C"/>
    <w:rsid w:val="00ED5ACF"/>
    <w:rsid w:val="00ED642C"/>
    <w:rsid w:val="00ED7ADE"/>
    <w:rsid w:val="00EE0174"/>
    <w:rsid w:val="00EE01D1"/>
    <w:rsid w:val="00EE083C"/>
    <w:rsid w:val="00EE0D6A"/>
    <w:rsid w:val="00EE12E9"/>
    <w:rsid w:val="00EE13A7"/>
    <w:rsid w:val="00EE1F92"/>
    <w:rsid w:val="00EE2B55"/>
    <w:rsid w:val="00EE3341"/>
    <w:rsid w:val="00EE3404"/>
    <w:rsid w:val="00EE3445"/>
    <w:rsid w:val="00EE388C"/>
    <w:rsid w:val="00EE4436"/>
    <w:rsid w:val="00EE4BBE"/>
    <w:rsid w:val="00EE546C"/>
    <w:rsid w:val="00EE563D"/>
    <w:rsid w:val="00EE58CA"/>
    <w:rsid w:val="00EE5CF8"/>
    <w:rsid w:val="00EE5D84"/>
    <w:rsid w:val="00EE5DFC"/>
    <w:rsid w:val="00EE60E7"/>
    <w:rsid w:val="00EE60F1"/>
    <w:rsid w:val="00EE6940"/>
    <w:rsid w:val="00EE6A20"/>
    <w:rsid w:val="00EE7503"/>
    <w:rsid w:val="00EE7636"/>
    <w:rsid w:val="00EE7F14"/>
    <w:rsid w:val="00EF00A8"/>
    <w:rsid w:val="00EF02E6"/>
    <w:rsid w:val="00EF045D"/>
    <w:rsid w:val="00EF0908"/>
    <w:rsid w:val="00EF0983"/>
    <w:rsid w:val="00EF0C8C"/>
    <w:rsid w:val="00EF0E21"/>
    <w:rsid w:val="00EF0FE9"/>
    <w:rsid w:val="00EF138D"/>
    <w:rsid w:val="00EF1821"/>
    <w:rsid w:val="00EF1ABA"/>
    <w:rsid w:val="00EF1B4D"/>
    <w:rsid w:val="00EF1D2F"/>
    <w:rsid w:val="00EF1ED9"/>
    <w:rsid w:val="00EF20C3"/>
    <w:rsid w:val="00EF231B"/>
    <w:rsid w:val="00EF2449"/>
    <w:rsid w:val="00EF2467"/>
    <w:rsid w:val="00EF256C"/>
    <w:rsid w:val="00EF3393"/>
    <w:rsid w:val="00EF3C53"/>
    <w:rsid w:val="00EF3C6A"/>
    <w:rsid w:val="00EF3F1A"/>
    <w:rsid w:val="00EF403F"/>
    <w:rsid w:val="00EF463E"/>
    <w:rsid w:val="00EF5058"/>
    <w:rsid w:val="00EF541D"/>
    <w:rsid w:val="00EF571F"/>
    <w:rsid w:val="00EF579C"/>
    <w:rsid w:val="00EF57BB"/>
    <w:rsid w:val="00EF585C"/>
    <w:rsid w:val="00EF5B95"/>
    <w:rsid w:val="00EF60B7"/>
    <w:rsid w:val="00EF613D"/>
    <w:rsid w:val="00EF6FED"/>
    <w:rsid w:val="00EF7569"/>
    <w:rsid w:val="00EF77B3"/>
    <w:rsid w:val="00EF7A7D"/>
    <w:rsid w:val="00F003AA"/>
    <w:rsid w:val="00F0077B"/>
    <w:rsid w:val="00F00922"/>
    <w:rsid w:val="00F00A21"/>
    <w:rsid w:val="00F00B40"/>
    <w:rsid w:val="00F0102C"/>
    <w:rsid w:val="00F0106B"/>
    <w:rsid w:val="00F0134D"/>
    <w:rsid w:val="00F0137B"/>
    <w:rsid w:val="00F0139C"/>
    <w:rsid w:val="00F020E1"/>
    <w:rsid w:val="00F02151"/>
    <w:rsid w:val="00F02164"/>
    <w:rsid w:val="00F0221D"/>
    <w:rsid w:val="00F02428"/>
    <w:rsid w:val="00F025AE"/>
    <w:rsid w:val="00F02DE5"/>
    <w:rsid w:val="00F0324F"/>
    <w:rsid w:val="00F03AA2"/>
    <w:rsid w:val="00F03D4D"/>
    <w:rsid w:val="00F043F9"/>
    <w:rsid w:val="00F04CF2"/>
    <w:rsid w:val="00F04E02"/>
    <w:rsid w:val="00F0526C"/>
    <w:rsid w:val="00F053B9"/>
    <w:rsid w:val="00F05558"/>
    <w:rsid w:val="00F0595E"/>
    <w:rsid w:val="00F05A7B"/>
    <w:rsid w:val="00F06293"/>
    <w:rsid w:val="00F06454"/>
    <w:rsid w:val="00F06568"/>
    <w:rsid w:val="00F06AA4"/>
    <w:rsid w:val="00F06CB2"/>
    <w:rsid w:val="00F06CE3"/>
    <w:rsid w:val="00F06E72"/>
    <w:rsid w:val="00F07C8A"/>
    <w:rsid w:val="00F07D8B"/>
    <w:rsid w:val="00F07FA5"/>
    <w:rsid w:val="00F104D0"/>
    <w:rsid w:val="00F10840"/>
    <w:rsid w:val="00F10F23"/>
    <w:rsid w:val="00F116E1"/>
    <w:rsid w:val="00F11936"/>
    <w:rsid w:val="00F11E4F"/>
    <w:rsid w:val="00F11F00"/>
    <w:rsid w:val="00F126F2"/>
    <w:rsid w:val="00F1272B"/>
    <w:rsid w:val="00F13033"/>
    <w:rsid w:val="00F13232"/>
    <w:rsid w:val="00F132E7"/>
    <w:rsid w:val="00F138CE"/>
    <w:rsid w:val="00F13A85"/>
    <w:rsid w:val="00F13C6A"/>
    <w:rsid w:val="00F13C93"/>
    <w:rsid w:val="00F14182"/>
    <w:rsid w:val="00F14212"/>
    <w:rsid w:val="00F14895"/>
    <w:rsid w:val="00F14A1F"/>
    <w:rsid w:val="00F14BE6"/>
    <w:rsid w:val="00F14C11"/>
    <w:rsid w:val="00F14D95"/>
    <w:rsid w:val="00F15A01"/>
    <w:rsid w:val="00F15D2C"/>
    <w:rsid w:val="00F161D9"/>
    <w:rsid w:val="00F16582"/>
    <w:rsid w:val="00F169AE"/>
    <w:rsid w:val="00F169B8"/>
    <w:rsid w:val="00F16B9D"/>
    <w:rsid w:val="00F16CE1"/>
    <w:rsid w:val="00F17125"/>
    <w:rsid w:val="00F171DD"/>
    <w:rsid w:val="00F1727E"/>
    <w:rsid w:val="00F179EF"/>
    <w:rsid w:val="00F17E02"/>
    <w:rsid w:val="00F17E22"/>
    <w:rsid w:val="00F20017"/>
    <w:rsid w:val="00F20776"/>
    <w:rsid w:val="00F21051"/>
    <w:rsid w:val="00F2106E"/>
    <w:rsid w:val="00F21514"/>
    <w:rsid w:val="00F21AE7"/>
    <w:rsid w:val="00F21B8E"/>
    <w:rsid w:val="00F21CAF"/>
    <w:rsid w:val="00F21FFD"/>
    <w:rsid w:val="00F223BD"/>
    <w:rsid w:val="00F223EA"/>
    <w:rsid w:val="00F22D88"/>
    <w:rsid w:val="00F22EE2"/>
    <w:rsid w:val="00F232DA"/>
    <w:rsid w:val="00F23430"/>
    <w:rsid w:val="00F23BAD"/>
    <w:rsid w:val="00F2432F"/>
    <w:rsid w:val="00F24874"/>
    <w:rsid w:val="00F24980"/>
    <w:rsid w:val="00F24B20"/>
    <w:rsid w:val="00F24EF6"/>
    <w:rsid w:val="00F25C36"/>
    <w:rsid w:val="00F26145"/>
    <w:rsid w:val="00F26345"/>
    <w:rsid w:val="00F2634C"/>
    <w:rsid w:val="00F26D6D"/>
    <w:rsid w:val="00F274E6"/>
    <w:rsid w:val="00F2790A"/>
    <w:rsid w:val="00F27A25"/>
    <w:rsid w:val="00F27BC4"/>
    <w:rsid w:val="00F27C95"/>
    <w:rsid w:val="00F3031B"/>
    <w:rsid w:val="00F30616"/>
    <w:rsid w:val="00F30910"/>
    <w:rsid w:val="00F31092"/>
    <w:rsid w:val="00F31673"/>
    <w:rsid w:val="00F3172C"/>
    <w:rsid w:val="00F319F9"/>
    <w:rsid w:val="00F31D7F"/>
    <w:rsid w:val="00F32AF9"/>
    <w:rsid w:val="00F32C09"/>
    <w:rsid w:val="00F33522"/>
    <w:rsid w:val="00F33B96"/>
    <w:rsid w:val="00F33BF2"/>
    <w:rsid w:val="00F346B1"/>
    <w:rsid w:val="00F3484E"/>
    <w:rsid w:val="00F34E84"/>
    <w:rsid w:val="00F34FB3"/>
    <w:rsid w:val="00F36323"/>
    <w:rsid w:val="00F36EA7"/>
    <w:rsid w:val="00F36F16"/>
    <w:rsid w:val="00F37507"/>
    <w:rsid w:val="00F40042"/>
    <w:rsid w:val="00F402F3"/>
    <w:rsid w:val="00F40419"/>
    <w:rsid w:val="00F41179"/>
    <w:rsid w:val="00F415F2"/>
    <w:rsid w:val="00F41BE7"/>
    <w:rsid w:val="00F42037"/>
    <w:rsid w:val="00F423F6"/>
    <w:rsid w:val="00F42415"/>
    <w:rsid w:val="00F424D3"/>
    <w:rsid w:val="00F4284C"/>
    <w:rsid w:val="00F436A6"/>
    <w:rsid w:val="00F43E81"/>
    <w:rsid w:val="00F443B0"/>
    <w:rsid w:val="00F444E7"/>
    <w:rsid w:val="00F447EA"/>
    <w:rsid w:val="00F44943"/>
    <w:rsid w:val="00F45159"/>
    <w:rsid w:val="00F453DF"/>
    <w:rsid w:val="00F4661B"/>
    <w:rsid w:val="00F46EEA"/>
    <w:rsid w:val="00F4737E"/>
    <w:rsid w:val="00F47D5F"/>
    <w:rsid w:val="00F47E5F"/>
    <w:rsid w:val="00F505C6"/>
    <w:rsid w:val="00F50623"/>
    <w:rsid w:val="00F511EE"/>
    <w:rsid w:val="00F51D28"/>
    <w:rsid w:val="00F51E4D"/>
    <w:rsid w:val="00F533F9"/>
    <w:rsid w:val="00F539AC"/>
    <w:rsid w:val="00F53D94"/>
    <w:rsid w:val="00F5420D"/>
    <w:rsid w:val="00F546F1"/>
    <w:rsid w:val="00F54768"/>
    <w:rsid w:val="00F54ADC"/>
    <w:rsid w:val="00F553E8"/>
    <w:rsid w:val="00F55AA3"/>
    <w:rsid w:val="00F55DFC"/>
    <w:rsid w:val="00F56C88"/>
    <w:rsid w:val="00F57BDA"/>
    <w:rsid w:val="00F57F43"/>
    <w:rsid w:val="00F60058"/>
    <w:rsid w:val="00F6066A"/>
    <w:rsid w:val="00F60688"/>
    <w:rsid w:val="00F60D88"/>
    <w:rsid w:val="00F60DC0"/>
    <w:rsid w:val="00F61248"/>
    <w:rsid w:val="00F61281"/>
    <w:rsid w:val="00F6132C"/>
    <w:rsid w:val="00F613C3"/>
    <w:rsid w:val="00F617B5"/>
    <w:rsid w:val="00F61D87"/>
    <w:rsid w:val="00F61EC8"/>
    <w:rsid w:val="00F62635"/>
    <w:rsid w:val="00F626F5"/>
    <w:rsid w:val="00F62870"/>
    <w:rsid w:val="00F629DE"/>
    <w:rsid w:val="00F638B4"/>
    <w:rsid w:val="00F6394E"/>
    <w:rsid w:val="00F643C2"/>
    <w:rsid w:val="00F64A0B"/>
    <w:rsid w:val="00F64CAE"/>
    <w:rsid w:val="00F6530F"/>
    <w:rsid w:val="00F6557B"/>
    <w:rsid w:val="00F658DA"/>
    <w:rsid w:val="00F65A0A"/>
    <w:rsid w:val="00F65C89"/>
    <w:rsid w:val="00F65CA6"/>
    <w:rsid w:val="00F666B5"/>
    <w:rsid w:val="00F66F76"/>
    <w:rsid w:val="00F67275"/>
    <w:rsid w:val="00F67EF9"/>
    <w:rsid w:val="00F70011"/>
    <w:rsid w:val="00F7010F"/>
    <w:rsid w:val="00F704DC"/>
    <w:rsid w:val="00F713E2"/>
    <w:rsid w:val="00F7187B"/>
    <w:rsid w:val="00F718A4"/>
    <w:rsid w:val="00F723D7"/>
    <w:rsid w:val="00F72630"/>
    <w:rsid w:val="00F72698"/>
    <w:rsid w:val="00F728AA"/>
    <w:rsid w:val="00F72AD3"/>
    <w:rsid w:val="00F72C8A"/>
    <w:rsid w:val="00F72CA8"/>
    <w:rsid w:val="00F72D90"/>
    <w:rsid w:val="00F73466"/>
    <w:rsid w:val="00F74073"/>
    <w:rsid w:val="00F741FA"/>
    <w:rsid w:val="00F742F3"/>
    <w:rsid w:val="00F7430B"/>
    <w:rsid w:val="00F74491"/>
    <w:rsid w:val="00F745D9"/>
    <w:rsid w:val="00F7523E"/>
    <w:rsid w:val="00F759D7"/>
    <w:rsid w:val="00F7609A"/>
    <w:rsid w:val="00F76152"/>
    <w:rsid w:val="00F761AD"/>
    <w:rsid w:val="00F76924"/>
    <w:rsid w:val="00F76C8F"/>
    <w:rsid w:val="00F76FA8"/>
    <w:rsid w:val="00F76FD6"/>
    <w:rsid w:val="00F77293"/>
    <w:rsid w:val="00F77C33"/>
    <w:rsid w:val="00F77D71"/>
    <w:rsid w:val="00F77F22"/>
    <w:rsid w:val="00F808F0"/>
    <w:rsid w:val="00F80927"/>
    <w:rsid w:val="00F80D74"/>
    <w:rsid w:val="00F810F2"/>
    <w:rsid w:val="00F8183C"/>
    <w:rsid w:val="00F819E1"/>
    <w:rsid w:val="00F822A0"/>
    <w:rsid w:val="00F82B44"/>
    <w:rsid w:val="00F82B8B"/>
    <w:rsid w:val="00F83243"/>
    <w:rsid w:val="00F83A8B"/>
    <w:rsid w:val="00F83B2E"/>
    <w:rsid w:val="00F84099"/>
    <w:rsid w:val="00F8412E"/>
    <w:rsid w:val="00F843F7"/>
    <w:rsid w:val="00F84589"/>
    <w:rsid w:val="00F8476D"/>
    <w:rsid w:val="00F84932"/>
    <w:rsid w:val="00F84A59"/>
    <w:rsid w:val="00F85501"/>
    <w:rsid w:val="00F856B7"/>
    <w:rsid w:val="00F856DE"/>
    <w:rsid w:val="00F85851"/>
    <w:rsid w:val="00F861D2"/>
    <w:rsid w:val="00F86769"/>
    <w:rsid w:val="00F8676D"/>
    <w:rsid w:val="00F8686F"/>
    <w:rsid w:val="00F86C16"/>
    <w:rsid w:val="00F86FBD"/>
    <w:rsid w:val="00F874DD"/>
    <w:rsid w:val="00F8798B"/>
    <w:rsid w:val="00F87F91"/>
    <w:rsid w:val="00F9034D"/>
    <w:rsid w:val="00F904C4"/>
    <w:rsid w:val="00F90624"/>
    <w:rsid w:val="00F907AF"/>
    <w:rsid w:val="00F90E09"/>
    <w:rsid w:val="00F90E58"/>
    <w:rsid w:val="00F91633"/>
    <w:rsid w:val="00F9166A"/>
    <w:rsid w:val="00F91CBC"/>
    <w:rsid w:val="00F91E36"/>
    <w:rsid w:val="00F922ED"/>
    <w:rsid w:val="00F927A2"/>
    <w:rsid w:val="00F93A0A"/>
    <w:rsid w:val="00F93FB2"/>
    <w:rsid w:val="00F94296"/>
    <w:rsid w:val="00F945C1"/>
    <w:rsid w:val="00F94A71"/>
    <w:rsid w:val="00F94CCA"/>
    <w:rsid w:val="00F95156"/>
    <w:rsid w:val="00F9535C"/>
    <w:rsid w:val="00F95426"/>
    <w:rsid w:val="00F95499"/>
    <w:rsid w:val="00F95780"/>
    <w:rsid w:val="00F95D44"/>
    <w:rsid w:val="00F95EFB"/>
    <w:rsid w:val="00F9624E"/>
    <w:rsid w:val="00F9660E"/>
    <w:rsid w:val="00F967FA"/>
    <w:rsid w:val="00F9687F"/>
    <w:rsid w:val="00F96923"/>
    <w:rsid w:val="00F96E26"/>
    <w:rsid w:val="00F97057"/>
    <w:rsid w:val="00F970DB"/>
    <w:rsid w:val="00F9766C"/>
    <w:rsid w:val="00F97774"/>
    <w:rsid w:val="00FA008C"/>
    <w:rsid w:val="00FA0431"/>
    <w:rsid w:val="00FA04B0"/>
    <w:rsid w:val="00FA0577"/>
    <w:rsid w:val="00FA086C"/>
    <w:rsid w:val="00FA0870"/>
    <w:rsid w:val="00FA0FFB"/>
    <w:rsid w:val="00FA1292"/>
    <w:rsid w:val="00FA1441"/>
    <w:rsid w:val="00FA1596"/>
    <w:rsid w:val="00FA1D00"/>
    <w:rsid w:val="00FA203F"/>
    <w:rsid w:val="00FA25F4"/>
    <w:rsid w:val="00FA2775"/>
    <w:rsid w:val="00FA2D95"/>
    <w:rsid w:val="00FA38A1"/>
    <w:rsid w:val="00FA3C01"/>
    <w:rsid w:val="00FA3F41"/>
    <w:rsid w:val="00FA4181"/>
    <w:rsid w:val="00FA4A3B"/>
    <w:rsid w:val="00FA4FDA"/>
    <w:rsid w:val="00FA582E"/>
    <w:rsid w:val="00FA5986"/>
    <w:rsid w:val="00FA62C1"/>
    <w:rsid w:val="00FA63DE"/>
    <w:rsid w:val="00FA6B17"/>
    <w:rsid w:val="00FA6F91"/>
    <w:rsid w:val="00FA71CD"/>
    <w:rsid w:val="00FA7860"/>
    <w:rsid w:val="00FB0060"/>
    <w:rsid w:val="00FB012F"/>
    <w:rsid w:val="00FB0A08"/>
    <w:rsid w:val="00FB0AD3"/>
    <w:rsid w:val="00FB0D58"/>
    <w:rsid w:val="00FB1081"/>
    <w:rsid w:val="00FB14E5"/>
    <w:rsid w:val="00FB1730"/>
    <w:rsid w:val="00FB185F"/>
    <w:rsid w:val="00FB21EE"/>
    <w:rsid w:val="00FB2305"/>
    <w:rsid w:val="00FB231D"/>
    <w:rsid w:val="00FB2386"/>
    <w:rsid w:val="00FB239B"/>
    <w:rsid w:val="00FB2506"/>
    <w:rsid w:val="00FB2985"/>
    <w:rsid w:val="00FB306B"/>
    <w:rsid w:val="00FB3784"/>
    <w:rsid w:val="00FB4A2E"/>
    <w:rsid w:val="00FB50C2"/>
    <w:rsid w:val="00FB529D"/>
    <w:rsid w:val="00FB56C5"/>
    <w:rsid w:val="00FB57EF"/>
    <w:rsid w:val="00FB59E5"/>
    <w:rsid w:val="00FB5FB0"/>
    <w:rsid w:val="00FB6831"/>
    <w:rsid w:val="00FB6F0E"/>
    <w:rsid w:val="00FB7084"/>
    <w:rsid w:val="00FB7747"/>
    <w:rsid w:val="00FB7BC8"/>
    <w:rsid w:val="00FB7C86"/>
    <w:rsid w:val="00FB7E29"/>
    <w:rsid w:val="00FB7F55"/>
    <w:rsid w:val="00FC01A4"/>
    <w:rsid w:val="00FC03FF"/>
    <w:rsid w:val="00FC06BF"/>
    <w:rsid w:val="00FC07AB"/>
    <w:rsid w:val="00FC0AE4"/>
    <w:rsid w:val="00FC0E21"/>
    <w:rsid w:val="00FC1694"/>
    <w:rsid w:val="00FC18A5"/>
    <w:rsid w:val="00FC1CF2"/>
    <w:rsid w:val="00FC1ED5"/>
    <w:rsid w:val="00FC2124"/>
    <w:rsid w:val="00FC239E"/>
    <w:rsid w:val="00FC2576"/>
    <w:rsid w:val="00FC2A8A"/>
    <w:rsid w:val="00FC2E45"/>
    <w:rsid w:val="00FC351E"/>
    <w:rsid w:val="00FC35DE"/>
    <w:rsid w:val="00FC3E9C"/>
    <w:rsid w:val="00FC424A"/>
    <w:rsid w:val="00FC4398"/>
    <w:rsid w:val="00FC4401"/>
    <w:rsid w:val="00FC48D8"/>
    <w:rsid w:val="00FC4B62"/>
    <w:rsid w:val="00FC4B7A"/>
    <w:rsid w:val="00FC4BA2"/>
    <w:rsid w:val="00FC503B"/>
    <w:rsid w:val="00FC5301"/>
    <w:rsid w:val="00FC588B"/>
    <w:rsid w:val="00FC5B26"/>
    <w:rsid w:val="00FC5B30"/>
    <w:rsid w:val="00FC5E55"/>
    <w:rsid w:val="00FC5F5C"/>
    <w:rsid w:val="00FC6028"/>
    <w:rsid w:val="00FC635D"/>
    <w:rsid w:val="00FC6586"/>
    <w:rsid w:val="00FC66B8"/>
    <w:rsid w:val="00FC6947"/>
    <w:rsid w:val="00FC6E6C"/>
    <w:rsid w:val="00FC6E74"/>
    <w:rsid w:val="00FC6F7F"/>
    <w:rsid w:val="00FC7029"/>
    <w:rsid w:val="00FC7186"/>
    <w:rsid w:val="00FC742F"/>
    <w:rsid w:val="00FC7C89"/>
    <w:rsid w:val="00FD0BC7"/>
    <w:rsid w:val="00FD0F61"/>
    <w:rsid w:val="00FD10DB"/>
    <w:rsid w:val="00FD1280"/>
    <w:rsid w:val="00FD143C"/>
    <w:rsid w:val="00FD1946"/>
    <w:rsid w:val="00FD229D"/>
    <w:rsid w:val="00FD2965"/>
    <w:rsid w:val="00FD2A64"/>
    <w:rsid w:val="00FD2CC3"/>
    <w:rsid w:val="00FD2FC3"/>
    <w:rsid w:val="00FD312F"/>
    <w:rsid w:val="00FD31C7"/>
    <w:rsid w:val="00FD324E"/>
    <w:rsid w:val="00FD3ABA"/>
    <w:rsid w:val="00FD3D61"/>
    <w:rsid w:val="00FD436D"/>
    <w:rsid w:val="00FD4917"/>
    <w:rsid w:val="00FD491D"/>
    <w:rsid w:val="00FD49DB"/>
    <w:rsid w:val="00FD5062"/>
    <w:rsid w:val="00FD506B"/>
    <w:rsid w:val="00FD57A5"/>
    <w:rsid w:val="00FD5FCA"/>
    <w:rsid w:val="00FD63EF"/>
    <w:rsid w:val="00FD6D64"/>
    <w:rsid w:val="00FD70C7"/>
    <w:rsid w:val="00FD7399"/>
    <w:rsid w:val="00FD764D"/>
    <w:rsid w:val="00FD7ACC"/>
    <w:rsid w:val="00FD7B35"/>
    <w:rsid w:val="00FD7BCD"/>
    <w:rsid w:val="00FD7C6C"/>
    <w:rsid w:val="00FD7CDC"/>
    <w:rsid w:val="00FD7F20"/>
    <w:rsid w:val="00FE01A6"/>
    <w:rsid w:val="00FE02F8"/>
    <w:rsid w:val="00FE0BA6"/>
    <w:rsid w:val="00FE1445"/>
    <w:rsid w:val="00FE153E"/>
    <w:rsid w:val="00FE1769"/>
    <w:rsid w:val="00FE18D2"/>
    <w:rsid w:val="00FE18EF"/>
    <w:rsid w:val="00FE1CE2"/>
    <w:rsid w:val="00FE1DFC"/>
    <w:rsid w:val="00FE21B5"/>
    <w:rsid w:val="00FE235B"/>
    <w:rsid w:val="00FE2620"/>
    <w:rsid w:val="00FE27FE"/>
    <w:rsid w:val="00FE2852"/>
    <w:rsid w:val="00FE2A5D"/>
    <w:rsid w:val="00FE2B96"/>
    <w:rsid w:val="00FE2F5F"/>
    <w:rsid w:val="00FE3045"/>
    <w:rsid w:val="00FE36B4"/>
    <w:rsid w:val="00FE3806"/>
    <w:rsid w:val="00FE393B"/>
    <w:rsid w:val="00FE3E24"/>
    <w:rsid w:val="00FE4608"/>
    <w:rsid w:val="00FE4826"/>
    <w:rsid w:val="00FE5DD2"/>
    <w:rsid w:val="00FE603D"/>
    <w:rsid w:val="00FE633A"/>
    <w:rsid w:val="00FE66DF"/>
    <w:rsid w:val="00FE6845"/>
    <w:rsid w:val="00FE693B"/>
    <w:rsid w:val="00FE6AD1"/>
    <w:rsid w:val="00FE6C84"/>
    <w:rsid w:val="00FE772E"/>
    <w:rsid w:val="00FE78FD"/>
    <w:rsid w:val="00FE7BA2"/>
    <w:rsid w:val="00FF005E"/>
    <w:rsid w:val="00FF0586"/>
    <w:rsid w:val="00FF0724"/>
    <w:rsid w:val="00FF09BD"/>
    <w:rsid w:val="00FF12E6"/>
    <w:rsid w:val="00FF1744"/>
    <w:rsid w:val="00FF183A"/>
    <w:rsid w:val="00FF1F34"/>
    <w:rsid w:val="00FF2265"/>
    <w:rsid w:val="00FF2DD8"/>
    <w:rsid w:val="00FF3223"/>
    <w:rsid w:val="00FF3388"/>
    <w:rsid w:val="00FF3496"/>
    <w:rsid w:val="00FF3CA1"/>
    <w:rsid w:val="00FF4177"/>
    <w:rsid w:val="00FF4553"/>
    <w:rsid w:val="00FF4675"/>
    <w:rsid w:val="00FF48C8"/>
    <w:rsid w:val="00FF49EF"/>
    <w:rsid w:val="00FF4BFC"/>
    <w:rsid w:val="00FF5142"/>
    <w:rsid w:val="00FF5A23"/>
    <w:rsid w:val="00FF74AC"/>
    <w:rsid w:val="00FF74CE"/>
    <w:rsid w:val="00FF77EC"/>
    <w:rsid w:val="00FF7932"/>
    <w:rsid w:val="00FF7C7F"/>
    <w:rsid w:val="047A472E"/>
    <w:rsid w:val="0CA53C6D"/>
    <w:rsid w:val="0E60322C"/>
    <w:rsid w:val="1C467056"/>
    <w:rsid w:val="1D3DCEF8"/>
    <w:rsid w:val="1F7A22FA"/>
    <w:rsid w:val="1FABAA86"/>
    <w:rsid w:val="2D228BB6"/>
    <w:rsid w:val="377C86A2"/>
    <w:rsid w:val="3CAE58A4"/>
    <w:rsid w:val="3CE3BA19"/>
    <w:rsid w:val="46B40971"/>
    <w:rsid w:val="4A924ED7"/>
    <w:rsid w:val="4DFC659A"/>
    <w:rsid w:val="68F51F73"/>
    <w:rsid w:val="6EEE97F5"/>
    <w:rsid w:val="7DA0F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DD875"/>
  <w15:docId w15:val="{BA78BFB3-A74D-49A2-94FB-0BD984D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92C"/>
    <w:pPr>
      <w:jc w:val="both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6708E"/>
    <w:pPr>
      <w:widowControl w:val="0"/>
      <w:kinsoku w:val="0"/>
      <w:overflowPunct w:val="0"/>
      <w:autoSpaceDE w:val="0"/>
      <w:autoSpaceDN w:val="0"/>
      <w:adjustRightInd w:val="0"/>
      <w:ind w:right="15"/>
      <w:jc w:val="center"/>
      <w:outlineLvl w:val="0"/>
    </w:pPr>
    <w:rPr>
      <w:rFonts w:eastAsiaTheme="minorEastAsia"/>
      <w:b/>
      <w:bCs/>
      <w:spacing w:val="-1"/>
      <w:sz w:val="32"/>
      <w:szCs w:val="32"/>
      <w:lang w:val="es-MX" w:eastAsia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1"/>
    <w:qFormat/>
    <w:rsid w:val="00A3561C"/>
    <w:pPr>
      <w:widowControl w:val="0"/>
      <w:autoSpaceDE w:val="0"/>
      <w:autoSpaceDN w:val="0"/>
      <w:adjustRightInd w:val="0"/>
      <w:ind w:right="15"/>
      <w:jc w:val="left"/>
      <w:outlineLvl w:val="1"/>
    </w:pPr>
    <w:rPr>
      <w:rFonts w:eastAsiaTheme="minorEastAsia"/>
      <w:b/>
      <w:bCs/>
      <w:i/>
      <w:iCs/>
      <w:lang w:val="es-MX" w:eastAsia="es-MX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1774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1774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774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0972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170972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sid w:val="00170972"/>
    <w:rPr>
      <w:sz w:val="20"/>
      <w:szCs w:val="20"/>
    </w:rPr>
  </w:style>
  <w:style w:type="paragraph" w:customStyle="1" w:styleId="n0">
    <w:name w:val="n0"/>
    <w:basedOn w:val="Normal"/>
    <w:rsid w:val="00170972"/>
    <w:pPr>
      <w:keepLines/>
      <w:spacing w:before="240"/>
      <w:ind w:left="709" w:right="-351" w:hanging="709"/>
    </w:pPr>
    <w:rPr>
      <w:color w:val="800080"/>
    </w:rPr>
  </w:style>
  <w:style w:type="paragraph" w:styleId="Textoindependiente">
    <w:name w:val="Body Text"/>
    <w:basedOn w:val="Normal"/>
    <w:link w:val="TextoindependienteCar"/>
    <w:rsid w:val="00170972"/>
    <w:pPr>
      <w:spacing w:before="240"/>
    </w:pPr>
    <w:rPr>
      <w:color w:val="0000FF"/>
    </w:rPr>
  </w:style>
  <w:style w:type="paragraph" w:customStyle="1" w:styleId="n01">
    <w:name w:val="n01"/>
    <w:basedOn w:val="Normal"/>
    <w:rsid w:val="00170972"/>
    <w:pPr>
      <w:keepLines/>
      <w:spacing w:before="240"/>
      <w:ind w:left="720" w:hanging="720"/>
    </w:pPr>
    <w:rPr>
      <w:rFonts w:ascii="Univers (W1)" w:hAnsi="Univers (W1)"/>
      <w:color w:val="800080"/>
    </w:rPr>
  </w:style>
  <w:style w:type="paragraph" w:customStyle="1" w:styleId="Mapadeldocumento1">
    <w:name w:val="Mapa del documento1"/>
    <w:basedOn w:val="Normal"/>
    <w:rsid w:val="00170972"/>
    <w:pPr>
      <w:shd w:val="clear" w:color="auto" w:fill="000080"/>
    </w:pPr>
    <w:rPr>
      <w:rFonts w:ascii="Tahoma" w:hAnsi="Tahoma" w:cs="Tahoma"/>
    </w:rPr>
  </w:style>
  <w:style w:type="paragraph" w:customStyle="1" w:styleId="Profesin">
    <w:name w:val="Profesión"/>
    <w:basedOn w:val="Normal"/>
    <w:rsid w:val="00170972"/>
    <w:pPr>
      <w:jc w:val="center"/>
    </w:pPr>
    <w:rPr>
      <w:b/>
      <w:bCs/>
      <w:caps/>
      <w:sz w:val="28"/>
      <w:szCs w:val="28"/>
    </w:rPr>
  </w:style>
  <w:style w:type="paragraph" w:styleId="Subttulo">
    <w:name w:val="Subtitle"/>
    <w:basedOn w:val="Normal"/>
    <w:link w:val="SubttuloCar"/>
    <w:qFormat/>
    <w:rsid w:val="00170972"/>
    <w:pPr>
      <w:jc w:val="center"/>
    </w:pPr>
    <w:rPr>
      <w:b/>
      <w:bCs/>
    </w:rPr>
  </w:style>
  <w:style w:type="paragraph" w:styleId="Mapadeldocumento">
    <w:name w:val="Document Map"/>
    <w:basedOn w:val="Normal"/>
    <w:semiHidden/>
    <w:rsid w:val="00170972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170972"/>
    <w:pPr>
      <w:spacing w:before="240"/>
      <w:ind w:right="1951"/>
    </w:pPr>
  </w:style>
  <w:style w:type="paragraph" w:customStyle="1" w:styleId="p0">
    <w:name w:val="p0"/>
    <w:basedOn w:val="Normal"/>
    <w:rsid w:val="00170972"/>
    <w:pPr>
      <w:keepLines/>
      <w:widowControl w:val="0"/>
      <w:spacing w:before="240"/>
    </w:pPr>
    <w:rPr>
      <w:rFonts w:ascii="Helvetica" w:hAnsi="Helvetica"/>
      <w:snapToGrid w:val="0"/>
      <w:color w:val="0000FF"/>
    </w:rPr>
  </w:style>
  <w:style w:type="paragraph" w:styleId="Textodeglobo">
    <w:name w:val="Balloon Text"/>
    <w:basedOn w:val="Normal"/>
    <w:semiHidden/>
    <w:rsid w:val="0017097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170972"/>
    <w:pPr>
      <w:spacing w:before="360"/>
      <w:outlineLvl w:val="0"/>
    </w:pPr>
    <w:rPr>
      <w:u w:val="single"/>
    </w:rPr>
  </w:style>
  <w:style w:type="paragraph" w:styleId="TDC7">
    <w:name w:val="toc 7"/>
    <w:basedOn w:val="Normal"/>
    <w:next w:val="Normal"/>
    <w:rsid w:val="00CC726E"/>
    <w:pPr>
      <w:tabs>
        <w:tab w:val="left" w:leader="dot" w:pos="8646"/>
        <w:tab w:val="right" w:pos="9072"/>
      </w:tabs>
      <w:ind w:left="4253" w:right="850"/>
      <w:jc w:val="left"/>
    </w:pPr>
    <w:rPr>
      <w:rFonts w:ascii="Univers (W1)" w:hAnsi="Univers (W1)" w:cs="Times New Roman"/>
    </w:rPr>
  </w:style>
  <w:style w:type="character" w:styleId="Hipervnculo">
    <w:name w:val="Hyperlink"/>
    <w:basedOn w:val="Fuentedeprrafopredeter"/>
    <w:rsid w:val="00404D4D"/>
    <w:rPr>
      <w:color w:val="0000FF"/>
      <w:u w:val="single"/>
    </w:rPr>
  </w:style>
  <w:style w:type="paragraph" w:styleId="Prrafodelista">
    <w:name w:val="List Paragraph"/>
    <w:aliases w:val="Concepto,Párrafo,de,lista"/>
    <w:basedOn w:val="Normal"/>
    <w:link w:val="PrrafodelistaCar"/>
    <w:uiPriority w:val="34"/>
    <w:qFormat/>
    <w:rsid w:val="00F8476D"/>
    <w:pPr>
      <w:ind w:left="708"/>
    </w:pPr>
  </w:style>
  <w:style w:type="paragraph" w:customStyle="1" w:styleId="Texto">
    <w:name w:val="Texto"/>
    <w:basedOn w:val="Normal"/>
    <w:link w:val="TextoCar"/>
    <w:rsid w:val="007F4D45"/>
    <w:pPr>
      <w:spacing w:after="101" w:line="216" w:lineRule="exact"/>
      <w:ind w:firstLine="288"/>
    </w:pPr>
    <w:rPr>
      <w:sz w:val="18"/>
      <w:szCs w:val="20"/>
      <w:lang w:val="es-ES"/>
    </w:rPr>
  </w:style>
  <w:style w:type="character" w:customStyle="1" w:styleId="TextoCar">
    <w:name w:val="Texto Car"/>
    <w:basedOn w:val="Fuentedeprrafopredeter"/>
    <w:link w:val="Texto"/>
    <w:rsid w:val="007F4D45"/>
    <w:rPr>
      <w:rFonts w:ascii="Arial" w:hAnsi="Arial" w:cs="Arial"/>
      <w:sz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3E64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64BB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3E64BB"/>
    <w:rPr>
      <w:vertAlign w:val="superscript"/>
    </w:rPr>
  </w:style>
  <w:style w:type="character" w:styleId="Hipervnculovisitado">
    <w:name w:val="FollowedHyperlink"/>
    <w:basedOn w:val="Fuentedeprrafopredeter"/>
    <w:rsid w:val="00D87BDC"/>
    <w:rPr>
      <w:color w:val="800080" w:themeColor="followedHyperlink"/>
      <w:u w:val="single"/>
    </w:rPr>
  </w:style>
  <w:style w:type="paragraph" w:customStyle="1" w:styleId="Default">
    <w:name w:val="Default"/>
    <w:rsid w:val="00705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076C4"/>
    <w:rPr>
      <w:rFonts w:ascii="Arial" w:hAnsi="Arial" w:cs="Arial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53650"/>
    <w:rPr>
      <w:lang w:eastAsia="es-ES"/>
    </w:rPr>
  </w:style>
  <w:style w:type="paragraph" w:styleId="Textonotaalfinal">
    <w:name w:val="endnote text"/>
    <w:basedOn w:val="Normal"/>
    <w:link w:val="Textonotaalfinal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53650"/>
    <w:rPr>
      <w:lang w:eastAsia="es-ES"/>
    </w:rPr>
  </w:style>
  <w:style w:type="paragraph" w:customStyle="1" w:styleId="bulnot">
    <w:name w:val="bulnot"/>
    <w:basedOn w:val="Normal"/>
    <w:rsid w:val="00D53650"/>
    <w:pPr>
      <w:tabs>
        <w:tab w:val="left" w:pos="851"/>
      </w:tabs>
      <w:spacing w:before="360"/>
      <w:ind w:left="1985" w:right="2036" w:hanging="273"/>
    </w:pPr>
    <w:rPr>
      <w:rFonts w:cs="Times New Roman"/>
      <w:b/>
      <w:color w:val="0000FF"/>
      <w:spacing w:val="10"/>
      <w:sz w:val="22"/>
      <w:szCs w:val="20"/>
      <w:lang w:val="es-MX"/>
    </w:rPr>
  </w:style>
  <w:style w:type="paragraph" w:customStyle="1" w:styleId="texto0">
    <w:name w:val="texto"/>
    <w:basedOn w:val="Normal"/>
    <w:uiPriority w:val="99"/>
    <w:rsid w:val="00D53650"/>
    <w:pPr>
      <w:keepLines/>
      <w:spacing w:before="240"/>
    </w:pPr>
    <w:rPr>
      <w:rFonts w:cs="Times New Roman"/>
      <w:color w:val="000080"/>
      <w:szCs w:val="20"/>
      <w:lang w:val="es-MX"/>
    </w:rPr>
  </w:style>
  <w:style w:type="paragraph" w:customStyle="1" w:styleId="bullet">
    <w:name w:val="bullet"/>
    <w:basedOn w:val="Normal"/>
    <w:link w:val="bulletCar"/>
    <w:rsid w:val="00D53650"/>
    <w:pPr>
      <w:keepLines/>
      <w:spacing w:before="240" w:after="120"/>
      <w:ind w:left="1418" w:right="901" w:hanging="284"/>
    </w:pPr>
    <w:rPr>
      <w:rFonts w:cs="Times New Roman"/>
      <w:b/>
      <w:color w:val="0000FF"/>
      <w:spacing w:val="10"/>
      <w:szCs w:val="20"/>
      <w:lang w:val="es-MX"/>
    </w:rPr>
  </w:style>
  <w:style w:type="paragraph" w:customStyle="1" w:styleId="estado">
    <w:name w:val="estado"/>
    <w:basedOn w:val="Normal"/>
    <w:rsid w:val="00D53650"/>
    <w:pPr>
      <w:spacing w:before="360" w:line="320" w:lineRule="exact"/>
      <w:ind w:left="567" w:hanging="567"/>
    </w:pPr>
    <w:rPr>
      <w:rFonts w:cs="Times New Roman"/>
      <w:szCs w:val="20"/>
      <w:lang w:val="es-MX"/>
    </w:rPr>
  </w:style>
  <w:style w:type="paragraph" w:customStyle="1" w:styleId="tit-gra">
    <w:name w:val="tit-gra"/>
    <w:basedOn w:val="Normal"/>
    <w:rsid w:val="00D53650"/>
    <w:pPr>
      <w:keepNext/>
      <w:keepLines/>
      <w:jc w:val="center"/>
    </w:pPr>
    <w:rPr>
      <w:rFonts w:cs="Times New Roman"/>
      <w:b/>
      <w:szCs w:val="20"/>
      <w:lang w:val="es-MX"/>
    </w:rPr>
  </w:style>
  <w:style w:type="paragraph" w:customStyle="1" w:styleId="var">
    <w:name w:val="var%"/>
    <w:basedOn w:val="Normal"/>
    <w:rsid w:val="00D53650"/>
    <w:pPr>
      <w:jc w:val="center"/>
    </w:pPr>
    <w:rPr>
      <w:rFonts w:cs="Times New Roman"/>
      <w:sz w:val="18"/>
      <w:szCs w:val="20"/>
      <w:lang w:val="es-MX"/>
    </w:rPr>
  </w:style>
  <w:style w:type="paragraph" w:styleId="Textodebloque">
    <w:name w:val="Block Text"/>
    <w:basedOn w:val="Normal"/>
    <w:rsid w:val="00D53650"/>
    <w:pPr>
      <w:spacing w:before="240"/>
      <w:ind w:left="-142" w:right="-91"/>
      <w:jc w:val="center"/>
    </w:pPr>
    <w:rPr>
      <w:rFonts w:cs="Times New Roman"/>
      <w:b/>
      <w:caps/>
      <w:szCs w:val="20"/>
      <w:lang w:val="es-MX"/>
    </w:rPr>
  </w:style>
  <w:style w:type="paragraph" w:customStyle="1" w:styleId="Textodebloque1">
    <w:name w:val="Texto de bloque1"/>
    <w:basedOn w:val="Normal"/>
    <w:rsid w:val="00D53650"/>
    <w:pPr>
      <w:spacing w:before="240"/>
      <w:ind w:left="1843" w:right="1361" w:hanging="273"/>
    </w:pPr>
    <w:rPr>
      <w:rFonts w:cs="Times New Roman"/>
      <w:b/>
      <w:sz w:val="22"/>
      <w:szCs w:val="20"/>
      <w:lang w:val="es-MX"/>
    </w:rPr>
  </w:style>
  <w:style w:type="paragraph" w:customStyle="1" w:styleId="Textoindependiente21">
    <w:name w:val="Texto independiente 21"/>
    <w:basedOn w:val="Normal"/>
    <w:rsid w:val="00D53650"/>
    <w:pPr>
      <w:spacing w:before="360"/>
      <w:ind w:left="570"/>
    </w:pPr>
    <w:rPr>
      <w:rFonts w:cs="Times New Roman"/>
      <w:color w:val="0000FF"/>
      <w:szCs w:val="20"/>
      <w:lang w:val="es-MX"/>
    </w:rPr>
  </w:style>
  <w:style w:type="paragraph" w:customStyle="1" w:styleId="nombre">
    <w:name w:val="nombre"/>
    <w:basedOn w:val="Normal"/>
    <w:rsid w:val="00D53650"/>
    <w:pPr>
      <w:keepLines/>
      <w:spacing w:before="240"/>
      <w:ind w:left="1080" w:hanging="1080"/>
      <w:jc w:val="left"/>
    </w:pPr>
    <w:rPr>
      <w:rFonts w:ascii="Helvetica" w:hAnsi="Helvetica" w:cs="Times New Roman"/>
      <w:color w:val="0000FF"/>
      <w:szCs w:val="20"/>
      <w:lang w:val="es-MX"/>
    </w:rPr>
  </w:style>
  <w:style w:type="paragraph" w:styleId="NormalWeb">
    <w:name w:val="Normal (Web)"/>
    <w:basedOn w:val="Normal"/>
    <w:uiPriority w:val="99"/>
    <w:rsid w:val="00D53650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ES"/>
    </w:rPr>
  </w:style>
  <w:style w:type="paragraph" w:styleId="Ttulo">
    <w:name w:val="Title"/>
    <w:basedOn w:val="Normal"/>
    <w:link w:val="TtuloCar"/>
    <w:qFormat/>
    <w:rsid w:val="00D53650"/>
    <w:pPr>
      <w:jc w:val="center"/>
    </w:pPr>
    <w:rPr>
      <w:rFonts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D53650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rsid w:val="00D536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semiHidden/>
    <w:rsid w:val="00D53650"/>
    <w:rPr>
      <w:vertAlign w:val="superscript"/>
    </w:rPr>
  </w:style>
  <w:style w:type="paragraph" w:customStyle="1" w:styleId="p1">
    <w:name w:val="p1"/>
    <w:basedOn w:val="p0"/>
    <w:rsid w:val="00D53650"/>
    <w:pPr>
      <w:spacing w:before="360"/>
    </w:pPr>
    <w:rPr>
      <w:rFonts w:ascii="Arial" w:hAnsi="Arial" w:cs="Times New Roman"/>
      <w:szCs w:val="20"/>
    </w:rPr>
  </w:style>
  <w:style w:type="paragraph" w:styleId="ndice3">
    <w:name w:val="index 3"/>
    <w:basedOn w:val="Normal"/>
    <w:next w:val="Normal"/>
    <w:rsid w:val="00D53650"/>
    <w:pPr>
      <w:keepLines/>
      <w:ind w:left="567"/>
    </w:pPr>
    <w:rPr>
      <w:rFonts w:ascii="Univers" w:hAnsi="Univers" w:cs="Times New Roman"/>
      <w:szCs w:val="20"/>
      <w:lang w:val="es-MX"/>
    </w:rPr>
  </w:style>
  <w:style w:type="paragraph" w:customStyle="1" w:styleId="Normal1">
    <w:name w:val="Normal1"/>
    <w:rsid w:val="00D53650"/>
    <w:rPr>
      <w:rFonts w:ascii="CG Times" w:hAnsi="CG Times"/>
      <w:lang w:val="es-ES_tradnl" w:eastAsia="es-ES"/>
    </w:rPr>
  </w:style>
  <w:style w:type="paragraph" w:customStyle="1" w:styleId="consang">
    <w:name w:val="con sang"/>
    <w:basedOn w:val="Normal"/>
    <w:link w:val="consangCar"/>
    <w:qFormat/>
    <w:rsid w:val="00D53650"/>
    <w:pPr>
      <w:spacing w:after="200" w:line="276" w:lineRule="auto"/>
      <w:ind w:firstLine="426"/>
    </w:pPr>
    <w:rPr>
      <w:rFonts w:ascii="Times New Roman" w:eastAsia="Calibri" w:hAnsi="Times New Roman" w:cs="Times New Roman"/>
      <w:szCs w:val="22"/>
      <w:lang w:val="es-MX" w:eastAsia="en-US"/>
    </w:rPr>
  </w:style>
  <w:style w:type="character" w:customStyle="1" w:styleId="consangCar">
    <w:name w:val="con sang Car"/>
    <w:basedOn w:val="Fuentedeprrafopredeter"/>
    <w:link w:val="consang"/>
    <w:rsid w:val="00D53650"/>
    <w:rPr>
      <w:rFonts w:eastAsia="Calibri"/>
      <w:sz w:val="24"/>
      <w:szCs w:val="22"/>
      <w:lang w:eastAsia="en-US"/>
    </w:rPr>
  </w:style>
  <w:style w:type="character" w:styleId="nfasis">
    <w:name w:val="Emphasis"/>
    <w:basedOn w:val="Fuentedeprrafopredeter"/>
    <w:qFormat/>
    <w:rsid w:val="00D53650"/>
    <w:rPr>
      <w:i/>
      <w:iCs/>
    </w:rPr>
  </w:style>
  <w:style w:type="paragraph" w:styleId="Listaconvietas2">
    <w:name w:val="List Bullet 2"/>
    <w:basedOn w:val="Normal"/>
    <w:unhideWhenUsed/>
    <w:rsid w:val="00B53CFF"/>
    <w:pPr>
      <w:numPr>
        <w:numId w:val="1"/>
      </w:numPr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B53C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53CFF"/>
    <w:rPr>
      <w:rFonts w:ascii="Arial" w:hAnsi="Arial" w:cs="Arial"/>
      <w:sz w:val="24"/>
      <w:szCs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53CF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53CFF"/>
    <w:rPr>
      <w:rFonts w:ascii="Arial" w:hAnsi="Arial" w:cs="Arial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4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774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774E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EC4"/>
    <w:rPr>
      <w:color w:val="808080"/>
      <w:shd w:val="clear" w:color="auto" w:fill="E6E6E6"/>
    </w:rPr>
  </w:style>
  <w:style w:type="character" w:customStyle="1" w:styleId="SubttuloCar">
    <w:name w:val="Subtítulo Car"/>
    <w:basedOn w:val="Fuentedeprrafopredeter"/>
    <w:link w:val="Subttulo"/>
    <w:rsid w:val="002122B8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66F7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3355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94888"/>
    <w:rPr>
      <w:rFonts w:ascii="Arial" w:hAnsi="Arial" w:cs="Arial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DF50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F50DE"/>
    <w:pPr>
      <w:jc w:val="both"/>
    </w:pPr>
    <w:rPr>
      <w:rFonts w:ascii="Arial" w:hAnsi="Arial" w:cs="Arial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50DE"/>
    <w:rPr>
      <w:rFonts w:ascii="Arial" w:hAnsi="Arial" w:cs="Arial"/>
      <w:b/>
      <w:bCs/>
      <w:lang w:val="es-ES_tradnl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E0DF6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1"/>
    <w:rsid w:val="00D6708E"/>
    <w:rPr>
      <w:rFonts w:ascii="Arial" w:eastAsiaTheme="minorEastAsia" w:hAnsi="Arial" w:cs="Arial"/>
      <w:b/>
      <w:bCs/>
      <w:spacing w:val="-1"/>
      <w:sz w:val="32"/>
      <w:szCs w:val="32"/>
      <w14:ligatures w14:val="standardContextual"/>
    </w:rPr>
  </w:style>
  <w:style w:type="table" w:customStyle="1" w:styleId="TableGrid">
    <w:name w:val="TableGrid"/>
    <w:rsid w:val="00F874D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E119F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F93"/>
    <w:rPr>
      <w:rFonts w:ascii="Arial" w:hAnsi="Arial" w:cs="Arial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A3561C"/>
    <w:rPr>
      <w:rFonts w:ascii="Arial" w:eastAsiaTheme="minorEastAsia" w:hAnsi="Arial" w:cs="Arial"/>
      <w:b/>
      <w:bCs/>
      <w:i/>
      <w:iCs/>
      <w:sz w:val="24"/>
      <w:szCs w:val="24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rsid w:val="00A764CD"/>
    <w:rPr>
      <w:rFonts w:ascii="Arial" w:hAnsi="Arial" w:cs="Arial"/>
      <w:color w:val="0000FF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Concepto Car,Párrafo Car,de Car,lista Car"/>
    <w:link w:val="Prrafodelista"/>
    <w:uiPriority w:val="34"/>
    <w:locked/>
    <w:rsid w:val="00B730F2"/>
    <w:rPr>
      <w:rFonts w:ascii="Arial" w:hAnsi="Arial" w:cs="Arial"/>
      <w:sz w:val="24"/>
      <w:szCs w:val="24"/>
      <w:lang w:val="es-ES_tradnl" w:eastAsia="es-ES"/>
    </w:rPr>
  </w:style>
  <w:style w:type="character" w:customStyle="1" w:styleId="cf01">
    <w:name w:val="cf01"/>
    <w:basedOn w:val="Fuentedeprrafopredeter"/>
    <w:rsid w:val="008B7EFC"/>
    <w:rPr>
      <w:rFonts w:ascii="Segoe UI" w:hAnsi="Segoe UI" w:cs="Segoe UI" w:hint="default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83C42"/>
    <w:rPr>
      <w:b/>
      <w:bCs/>
    </w:rPr>
  </w:style>
  <w:style w:type="table" w:styleId="Tablaconcuadrcula4-nfasis3">
    <w:name w:val="Grid Table 4 Accent 3"/>
    <w:basedOn w:val="Tablanormal"/>
    <w:uiPriority w:val="49"/>
    <w:rsid w:val="00527A6F"/>
    <w:pPr>
      <w:jc w:val="center"/>
    </w:pPr>
    <w:rPr>
      <w:rFonts w:ascii="Arial" w:eastAsiaTheme="minorHAnsi" w:hAnsi="Arial" w:cstheme="minorBidi"/>
      <w:sz w:val="16"/>
      <w:szCs w:val="22"/>
      <w:lang w:eastAsia="en-US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01">
    <w:name w:val="fontstyle01"/>
    <w:basedOn w:val="Fuentedeprrafopredeter"/>
    <w:rsid w:val="00BF511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lanormal1">
    <w:name w:val="Plain Table 1"/>
    <w:basedOn w:val="Tablanormal"/>
    <w:uiPriority w:val="41"/>
    <w:rsid w:val="00695F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5">
    <w:name w:val="Grid Table 4 Accent 5"/>
    <w:basedOn w:val="Tablanormal"/>
    <w:uiPriority w:val="49"/>
    <w:rsid w:val="00695F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695FD3"/>
    <w:tblPr>
      <w:tblStyleRowBandSize w:val="1"/>
      <w:tblStyleColBandSize w:val="1"/>
      <w:tblBorders>
        <w:top w:val="single" w:sz="4" w:space="0" w:color="E8EBF8"/>
        <w:left w:val="single" w:sz="4" w:space="0" w:color="E8EBF8"/>
        <w:bottom w:val="single" w:sz="4" w:space="0" w:color="E8EBF8"/>
        <w:right w:val="single" w:sz="4" w:space="0" w:color="E8EBF8"/>
        <w:insideH w:val="single" w:sz="4" w:space="0" w:color="E8EBF8"/>
        <w:insideV w:val="single" w:sz="4" w:space="0" w:color="E8EBF8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Estilo1">
    <w:name w:val="Estilo1"/>
    <w:basedOn w:val="Tablanormal"/>
    <w:uiPriority w:val="99"/>
    <w:rsid w:val="005B4E30"/>
    <w:tblPr/>
    <w:tcPr>
      <w:shd w:val="clear" w:color="auto" w:fill="D9D9D9" w:themeFill="background1" w:themeFillShade="D9"/>
    </w:tcPr>
  </w:style>
  <w:style w:type="table" w:styleId="Tablaconcuadrculaclara">
    <w:name w:val="Grid Table Light"/>
    <w:basedOn w:val="Tablanormal"/>
    <w:uiPriority w:val="40"/>
    <w:rsid w:val="007029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cuadrograf">
    <w:name w:val="Tit cuadro graf"/>
    <w:basedOn w:val="Normal"/>
    <w:link w:val="TitcuadrografCar"/>
    <w:qFormat/>
    <w:rsid w:val="00873975"/>
    <w:pPr>
      <w:ind w:left="-567"/>
      <w:jc w:val="center"/>
    </w:pPr>
    <w:rPr>
      <w:b/>
      <w:smallCaps/>
      <w:color w:val="000080"/>
    </w:rPr>
  </w:style>
  <w:style w:type="character" w:customStyle="1" w:styleId="TitcuadrografCar">
    <w:name w:val="Tit cuadro graf Car"/>
    <w:basedOn w:val="Fuentedeprrafopredeter"/>
    <w:link w:val="Titcuadrograf"/>
    <w:rsid w:val="00873975"/>
    <w:rPr>
      <w:rFonts w:ascii="Arial" w:hAnsi="Arial" w:cs="Arial"/>
      <w:b/>
      <w:smallCaps/>
      <w:color w:val="000080"/>
      <w:sz w:val="24"/>
      <w:szCs w:val="24"/>
      <w:lang w:val="es-ES_tradnl" w:eastAsia="es-ES"/>
    </w:rPr>
  </w:style>
  <w:style w:type="paragraph" w:customStyle="1" w:styleId="Body">
    <w:name w:val="Body"/>
    <w:rsid w:val="00FD31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character" w:customStyle="1" w:styleId="bulletCar">
    <w:name w:val="bullet Car"/>
    <w:basedOn w:val="Fuentedeprrafopredeter"/>
    <w:link w:val="bullet"/>
    <w:rsid w:val="0030541B"/>
    <w:rPr>
      <w:rFonts w:ascii="Arial" w:hAnsi="Arial"/>
      <w:b/>
      <w:color w:val="0000FF"/>
      <w:spacing w:val="10"/>
      <w:sz w:val="24"/>
      <w:lang w:eastAsia="es-ES"/>
    </w:rPr>
  </w:style>
  <w:style w:type="table" w:styleId="Tablaconcuadrcula6concolores-nfasis1">
    <w:name w:val="Grid Table 6 Colorful Accent 1"/>
    <w:basedOn w:val="Tablanormal"/>
    <w:uiPriority w:val="51"/>
    <w:rsid w:val="005079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uentedeprrafopredeter"/>
    <w:rsid w:val="00AE4408"/>
  </w:style>
  <w:style w:type="paragraph" w:customStyle="1" w:styleId="Direcciones">
    <w:name w:val="Direcciones"/>
    <w:basedOn w:val="Normal"/>
    <w:qFormat/>
    <w:rsid w:val="002C30B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 Narrow Regular" w:eastAsia="Calibri" w:hAnsi="Arial Narrow Regular" w:cs="Arial Narrow 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2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6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80"/>
                            <w:left w:val="none" w:sz="0" w:space="0" w:color="000080"/>
                            <w:bottom w:val="none" w:sz="0" w:space="0" w:color="000080"/>
                            <w:right w:val="none" w:sz="0" w:space="0" w:color="0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https://www.instagram.com/inegi_informa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INEGIInforma/" TargetMode="External"/><Relationship Id="rId20" Type="http://schemas.openxmlformats.org/officeDocument/2006/relationships/hyperlink" Target="https://twitter.com/INEGI_INFORMA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://www.inegi.org.mx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egi.org.mx/programas/mtptref/2018/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hyperlink" Target="https://www.youtube.com/user/INEGIInform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ctorm.chavez\Documents\Plantillas%20personalizadas%20de%20Office\Plantilla%20oficial%20Bolet&#237;n-Prens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ES_INEGI_LAP\2.%20COMUNICADOS\10.%20MTPTREF_trimestral\3.%20COMUNICADOS\MTPTREF%202025\0825_MTPTREF%20IT25\Rev.%20plantilla\Plantilla%20BI_MTPRREF%201T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ES_INEGI_LAP\2.%20COMUNICADOS\10.%20MTPTREF_trimestral\3.%20COMUNICADOS\MTPTREF%202025\0825_MTPTREF%20IT25\Rev.%20plantilla\Plantilla%20BI_MTPRREF%201T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ES_INEGI_LAP\2.%20COMUNICADOS\10.%20MTPTREF_trimestral\3.%20COMUNICADOS\MTPTREF%202025\0825_MTPTREF%20IT25\Rev.%20plantilla\Plantilla%20BI_MTPRREF%201T2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ES_INEGI_LAP\2.%20COMUNICADOS\10.%20MTPTREF_trimestral\3.%20COMUNICADOS\MTPTREF%202025\0825_MTPTREF%20IT25\Rev.%20plantilla\Plantilla%20BI_MTPRREF%201T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788835308052252"/>
          <c:y val="1.8892234147272823E-2"/>
          <c:w val="0.60152326172512383"/>
          <c:h val="0.9405931944655837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8989C"/>
            </a:solidFill>
          </c:spPr>
          <c:invertIfNegative val="0"/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3DE-47F1-9CBF-EF8B43D1289C}"/>
              </c:ext>
            </c:extLst>
          </c:dPt>
          <c:dPt>
            <c:idx val="15"/>
            <c:invertIfNegative val="0"/>
            <c:bubble3D val="0"/>
            <c:spPr>
              <a:solidFill>
                <a:srgbClr val="C0C0C0"/>
              </a:solidFill>
            </c:spPr>
            <c:extLst>
              <c:ext xmlns:c16="http://schemas.microsoft.com/office/drawing/2014/chart" uri="{C3380CC4-5D6E-409C-BE32-E72D297353CC}">
                <c16:uniqueId val="{00000002-B3DE-47F1-9CBF-EF8B43D1289C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3DE-47F1-9CBF-EF8B43D1289C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3DE-47F1-9CBF-EF8B43D1289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3DE-47F1-9CBF-EF8B43D1289C}"/>
              </c:ext>
            </c:extLst>
          </c:dPt>
          <c:dLbls>
            <c:dLbl>
              <c:idx val="18"/>
              <c:layout>
                <c:manualLayout>
                  <c:x val="-1.172898570265884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E-47F1-9CBF-EF8B43D128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0" tIns="0" rIns="0" bIns="0" anchor="ctr">
                <a:spAutoFit/>
              </a:bodyPr>
              <a:lstStyle/>
              <a:p>
                <a:pPr>
                  <a:defRPr sz="800" b="1">
                    <a:solidFill>
                      <a:srgbClr val="4D565E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'Cuadro1 PO'!$H$51:$H$83</c:f>
              <c:strCache>
                <c:ptCount val="33"/>
                <c:pt idx="0">
                  <c:v>Campeche</c:v>
                </c:pt>
                <c:pt idx="1">
                  <c:v>Tabasco</c:v>
                </c:pt>
                <c:pt idx="2">
                  <c:v>Veracruz</c:v>
                </c:pt>
                <c:pt idx="3">
                  <c:v>Quintana Roo</c:v>
                </c:pt>
                <c:pt idx="4">
                  <c:v>Nayarit</c:v>
                </c:pt>
                <c:pt idx="5">
                  <c:v>Morelos</c:v>
                </c:pt>
                <c:pt idx="6">
                  <c:v>Puebla</c:v>
                </c:pt>
                <c:pt idx="7">
                  <c:v>Zacatecas</c:v>
                </c:pt>
                <c:pt idx="8">
                  <c:v>Sinaloa</c:v>
                </c:pt>
                <c:pt idx="9">
                  <c:v>Chihuahua</c:v>
                </c:pt>
                <c:pt idx="10">
                  <c:v>Chiapas</c:v>
                </c:pt>
                <c:pt idx="11">
                  <c:v>Colima</c:v>
                </c:pt>
                <c:pt idx="12">
                  <c:v>Coahuila</c:v>
                </c:pt>
                <c:pt idx="13">
                  <c:v>San Luis Potosí</c:v>
                </c:pt>
                <c:pt idx="14">
                  <c:v>Jalisco</c:v>
                </c:pt>
                <c:pt idx="15">
                  <c:v>Nacional</c:v>
                </c:pt>
                <c:pt idx="16">
                  <c:v>Michoacán</c:v>
                </c:pt>
                <c:pt idx="17">
                  <c:v>Guanajuato</c:v>
                </c:pt>
                <c:pt idx="18">
                  <c:v>Sonora</c:v>
                </c:pt>
                <c:pt idx="19">
                  <c:v>Baja California</c:v>
                </c:pt>
                <c:pt idx="20">
                  <c:v>Aguascalientes</c:v>
                </c:pt>
                <c:pt idx="21">
                  <c:v>México</c:v>
                </c:pt>
                <c:pt idx="22">
                  <c:v>Hidalgo</c:v>
                </c:pt>
                <c:pt idx="23">
                  <c:v>Nuevo León</c:v>
                </c:pt>
                <c:pt idx="24">
                  <c:v>Baja California Sur</c:v>
                </c:pt>
                <c:pt idx="25">
                  <c:v>Tamaulipas</c:v>
                </c:pt>
                <c:pt idx="26">
                  <c:v>Tlaxcala</c:v>
                </c:pt>
                <c:pt idx="27">
                  <c:v>Durango</c:v>
                </c:pt>
                <c:pt idx="28">
                  <c:v>Querétaro</c:v>
                </c:pt>
                <c:pt idx="29">
                  <c:v>Guerrero</c:v>
                </c:pt>
                <c:pt idx="30">
                  <c:v>Yucatán</c:v>
                </c:pt>
                <c:pt idx="31">
                  <c:v>Ciudad de México</c:v>
                </c:pt>
                <c:pt idx="32">
                  <c:v>Oaxaca</c:v>
                </c:pt>
              </c:strCache>
            </c:strRef>
          </c:cat>
          <c:val>
            <c:numRef>
              <c:f>'Cuadro1 PO'!$I$51:$I$83</c:f>
              <c:numCache>
                <c:formatCode>0.0</c:formatCode>
                <c:ptCount val="33"/>
                <c:pt idx="0">
                  <c:v>-7.5914815579494501</c:v>
                </c:pt>
                <c:pt idx="1">
                  <c:v>-3.5178381403946162</c:v>
                </c:pt>
                <c:pt idx="2">
                  <c:v>-1.7422883012438604</c:v>
                </c:pt>
                <c:pt idx="3">
                  <c:v>-1.668907008141872</c:v>
                </c:pt>
                <c:pt idx="4">
                  <c:v>-1.2205211233776083</c:v>
                </c:pt>
                <c:pt idx="5">
                  <c:v>-0.29084497899802386</c:v>
                </c:pt>
                <c:pt idx="6">
                  <c:v>0.12375711119962318</c:v>
                </c:pt>
                <c:pt idx="7">
                  <c:v>0.58544172111024295</c:v>
                </c:pt>
                <c:pt idx="8">
                  <c:v>0.74196468897976331</c:v>
                </c:pt>
                <c:pt idx="9">
                  <c:v>0.95876883745769703</c:v>
                </c:pt>
                <c:pt idx="10">
                  <c:v>1.0662295882966077</c:v>
                </c:pt>
                <c:pt idx="11">
                  <c:v>1.1011725517313238</c:v>
                </c:pt>
                <c:pt idx="12">
                  <c:v>1.2276582679034931</c:v>
                </c:pt>
                <c:pt idx="13">
                  <c:v>1.3839489337968587</c:v>
                </c:pt>
                <c:pt idx="14">
                  <c:v>1.4468722948527244</c:v>
                </c:pt>
                <c:pt idx="15">
                  <c:v>1.5827288700067896</c:v>
                </c:pt>
                <c:pt idx="16">
                  <c:v>1.6007786044696104</c:v>
                </c:pt>
                <c:pt idx="17">
                  <c:v>1.622761298739178</c:v>
                </c:pt>
                <c:pt idx="18">
                  <c:v>1.6301341245056307</c:v>
                </c:pt>
                <c:pt idx="19">
                  <c:v>1.8214639537324899</c:v>
                </c:pt>
                <c:pt idx="20">
                  <c:v>1.8995183478014894</c:v>
                </c:pt>
                <c:pt idx="21">
                  <c:v>1.8999695186308259</c:v>
                </c:pt>
                <c:pt idx="22">
                  <c:v>1.986855828867391</c:v>
                </c:pt>
                <c:pt idx="23">
                  <c:v>2.079391080261388</c:v>
                </c:pt>
                <c:pt idx="24">
                  <c:v>2.1407586341972973</c:v>
                </c:pt>
                <c:pt idx="25">
                  <c:v>2.4906205175489333</c:v>
                </c:pt>
                <c:pt idx="26">
                  <c:v>2.6102229722994679</c:v>
                </c:pt>
                <c:pt idx="27">
                  <c:v>2.688554368200343</c:v>
                </c:pt>
                <c:pt idx="28">
                  <c:v>2.8032767122389828</c:v>
                </c:pt>
                <c:pt idx="29">
                  <c:v>3.2096172863731169</c:v>
                </c:pt>
                <c:pt idx="30">
                  <c:v>3.3672323355257987</c:v>
                </c:pt>
                <c:pt idx="31">
                  <c:v>3.8344295257901422</c:v>
                </c:pt>
                <c:pt idx="32">
                  <c:v>4.4459460791453864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DE-47F1-9CBF-EF8B43D12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-779642368"/>
        <c:axId val="-779643456"/>
      </c:barChart>
      <c:catAx>
        <c:axId val="-779642368"/>
        <c:scaling>
          <c:orientation val="minMax"/>
        </c:scaling>
        <c:delete val="0"/>
        <c:axPos val="l"/>
        <c:numFmt formatCode="General" sourceLinked="0"/>
        <c:majorTickMark val="cross"/>
        <c:minorTickMark val="none"/>
        <c:tickLblPos val="low"/>
        <c:spPr>
          <a:ln w="9525">
            <a:solidFill>
              <a:srgbClr val="C0C0C0"/>
            </a:solidFill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-779643456"/>
        <c:crossesAt val="0"/>
        <c:auto val="1"/>
        <c:lblAlgn val="ctr"/>
        <c:lblOffset val="100"/>
        <c:noMultiLvlLbl val="0"/>
      </c:catAx>
      <c:valAx>
        <c:axId val="-779643456"/>
        <c:scaling>
          <c:orientation val="minMax"/>
          <c:max val="5"/>
          <c:min val="-10"/>
        </c:scaling>
        <c:delete val="0"/>
        <c:axPos val="b"/>
        <c:numFmt formatCode="#,##0.0" sourceLinked="0"/>
        <c:majorTickMark val="cross"/>
        <c:minorTickMark val="none"/>
        <c:tickLblPos val="nextTo"/>
        <c:spPr>
          <a:noFill/>
          <a:ln w="12700">
            <a:solidFill>
              <a:srgbClr val="D8551E"/>
            </a:solidFill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-779642368"/>
        <c:crosses val="autoZero"/>
        <c:crossBetween val="between"/>
        <c:majorUnit val="5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3175">
      <a:noFill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772514619883044"/>
          <c:y val="1.5663638060357536E-2"/>
          <c:w val="0.59138466536712153"/>
          <c:h val="0.9493846762799446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8989C"/>
            </a:solidFill>
          </c:spPr>
          <c:invertIfNegative val="0"/>
          <c:dLbls>
            <c:dLbl>
              <c:idx val="5"/>
              <c:layout>
                <c:manualLayout>
                  <c:x val="-0.1196609965739015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B9-46C3-BA1A-ACC79C108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rgbClr val="4D565E"/>
                    </a:solidFill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'Cuadro1 PO'!$L$90:$L$121</c:f>
              <c:strCache>
                <c:ptCount val="32"/>
                <c:pt idx="0">
                  <c:v>Veracruz</c:v>
                </c:pt>
                <c:pt idx="1">
                  <c:v>Campeche</c:v>
                </c:pt>
                <c:pt idx="2">
                  <c:v>Tabasco</c:v>
                </c:pt>
                <c:pt idx="3">
                  <c:v>Quintana Roo</c:v>
                </c:pt>
                <c:pt idx="4">
                  <c:v>Nayarit</c:v>
                </c:pt>
                <c:pt idx="5">
                  <c:v>Morelos</c:v>
                </c:pt>
                <c:pt idx="6">
                  <c:v>Puebla</c:v>
                </c:pt>
                <c:pt idx="7">
                  <c:v>Zacatecas</c:v>
                </c:pt>
                <c:pt idx="8">
                  <c:v>Colima</c:v>
                </c:pt>
                <c:pt idx="9">
                  <c:v>Baja California Sur</c:v>
                </c:pt>
                <c:pt idx="10">
                  <c:v>Sinaloa</c:v>
                </c:pt>
                <c:pt idx="11">
                  <c:v>Tlaxcala</c:v>
                </c:pt>
                <c:pt idx="12">
                  <c:v>Aguascalientes</c:v>
                </c:pt>
                <c:pt idx="13">
                  <c:v>Chiapas</c:v>
                </c:pt>
                <c:pt idx="14">
                  <c:v>San Luis Potosí</c:v>
                </c:pt>
                <c:pt idx="15">
                  <c:v>Chihuahua</c:v>
                </c:pt>
                <c:pt idx="16">
                  <c:v>Durango</c:v>
                </c:pt>
                <c:pt idx="17">
                  <c:v>Coahuila</c:v>
                </c:pt>
                <c:pt idx="18">
                  <c:v>Hidalgo</c:v>
                </c:pt>
                <c:pt idx="19">
                  <c:v>Sonora</c:v>
                </c:pt>
                <c:pt idx="20">
                  <c:v>Michoacán</c:v>
                </c:pt>
                <c:pt idx="21">
                  <c:v>Querétaro</c:v>
                </c:pt>
                <c:pt idx="22">
                  <c:v>Yucatán</c:v>
                </c:pt>
                <c:pt idx="23">
                  <c:v>Guerrero</c:v>
                </c:pt>
                <c:pt idx="24">
                  <c:v>Baja California</c:v>
                </c:pt>
                <c:pt idx="25">
                  <c:v>Guanajuato</c:v>
                </c:pt>
                <c:pt idx="26">
                  <c:v>Tamaulipas</c:v>
                </c:pt>
                <c:pt idx="27">
                  <c:v>Oaxaca</c:v>
                </c:pt>
                <c:pt idx="28">
                  <c:v>Jalisco</c:v>
                </c:pt>
                <c:pt idx="29">
                  <c:v>Nuevo León</c:v>
                </c:pt>
                <c:pt idx="30">
                  <c:v>México</c:v>
                </c:pt>
                <c:pt idx="31">
                  <c:v>Ciudad de México</c:v>
                </c:pt>
              </c:strCache>
            </c:strRef>
          </c:cat>
          <c:val>
            <c:numRef>
              <c:f>'Cuadro1 PO'!$M$90:$M$121</c:f>
              <c:numCache>
                <c:formatCode>0.00</c:formatCode>
                <c:ptCount val="32"/>
                <c:pt idx="0">
                  <c:v>-8.5305482207105321E-2</c:v>
                </c:pt>
                <c:pt idx="1">
                  <c:v>-6.4533386936076201E-2</c:v>
                </c:pt>
                <c:pt idx="2">
                  <c:v>-5.5801776809101609E-2</c:v>
                </c:pt>
                <c:pt idx="3">
                  <c:v>-2.9224954616533648E-2</c:v>
                </c:pt>
                <c:pt idx="4">
                  <c:v>-1.0623502004914995E-2</c:v>
                </c:pt>
                <c:pt idx="5">
                  <c:v>-3.5850447727956581E-3</c:v>
                </c:pt>
                <c:pt idx="6">
                  <c:v>4.9555694483568499E-3</c:v>
                </c:pt>
                <c:pt idx="7">
                  <c:v>5.8098889730475358E-3</c:v>
                </c:pt>
                <c:pt idx="8">
                  <c:v>7.6449982843921809E-3</c:v>
                </c:pt>
                <c:pt idx="9">
                  <c:v>1.6926366897043861E-2</c:v>
                </c:pt>
                <c:pt idx="10">
                  <c:v>1.8740828002353691E-2</c:v>
                </c:pt>
                <c:pt idx="11">
                  <c:v>1.960030957855308E-2</c:v>
                </c:pt>
                <c:pt idx="12">
                  <c:v>2.4612661593505687E-2</c:v>
                </c:pt>
                <c:pt idx="13">
                  <c:v>2.7485343258100047E-2</c:v>
                </c:pt>
                <c:pt idx="14">
                  <c:v>3.0228973634976779E-2</c:v>
                </c:pt>
                <c:pt idx="15">
                  <c:v>3.4381844073729989E-2</c:v>
                </c:pt>
                <c:pt idx="16">
                  <c:v>3.5909811320306691E-2</c:v>
                </c:pt>
                <c:pt idx="17">
                  <c:v>3.7099664193063202E-2</c:v>
                </c:pt>
                <c:pt idx="18">
                  <c:v>3.7711367296844753E-2</c:v>
                </c:pt>
                <c:pt idx="19">
                  <c:v>4.6925629239883269E-2</c:v>
                </c:pt>
                <c:pt idx="20">
                  <c:v>4.8267762632146584E-2</c:v>
                </c:pt>
                <c:pt idx="21">
                  <c:v>6.1818147842497347E-2</c:v>
                </c:pt>
                <c:pt idx="22">
                  <c:v>6.1983333490775908E-2</c:v>
                </c:pt>
                <c:pt idx="23">
                  <c:v>6.3748755106753027E-2</c:v>
                </c:pt>
                <c:pt idx="24">
                  <c:v>6.695697011941322E-2</c:v>
                </c:pt>
                <c:pt idx="25">
                  <c:v>7.2686847294075832E-2</c:v>
                </c:pt>
                <c:pt idx="26">
                  <c:v>7.578407819929886E-2</c:v>
                </c:pt>
                <c:pt idx="27">
                  <c:v>0.10477674049794079</c:v>
                </c:pt>
                <c:pt idx="28">
                  <c:v>0.10767781344583301</c:v>
                </c:pt>
                <c:pt idx="29">
                  <c:v>0.12666641992060457</c:v>
                </c:pt>
                <c:pt idx="30">
                  <c:v>0.22812912334995669</c:v>
                </c:pt>
                <c:pt idx="31">
                  <c:v>0.46527376965986672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7F-4A97-9C88-B24021DFCA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-779636384"/>
        <c:axId val="-779636928"/>
      </c:barChart>
      <c:catAx>
        <c:axId val="-779636384"/>
        <c:scaling>
          <c:orientation val="minMax"/>
        </c:scaling>
        <c:delete val="0"/>
        <c:axPos val="l"/>
        <c:numFmt formatCode="General" sourceLinked="0"/>
        <c:majorTickMark val="cross"/>
        <c:minorTickMark val="none"/>
        <c:tickLblPos val="low"/>
        <c:spPr>
          <a:ln w="9525">
            <a:solidFill>
              <a:srgbClr val="C0C0C0"/>
            </a:solidFill>
          </a:ln>
        </c:spPr>
        <c:txPr>
          <a:bodyPr rot="0" anchor="ctr" anchorCtr="0"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-779636928"/>
        <c:crossesAt val="0"/>
        <c:auto val="1"/>
        <c:lblAlgn val="ctr"/>
        <c:lblOffset val="100"/>
        <c:noMultiLvlLbl val="0"/>
      </c:catAx>
      <c:valAx>
        <c:axId val="-779636928"/>
        <c:scaling>
          <c:orientation val="minMax"/>
          <c:max val="0.5"/>
          <c:min val="-0.2"/>
        </c:scaling>
        <c:delete val="0"/>
        <c:axPos val="b"/>
        <c:numFmt formatCode="#,##0.00" sourceLinked="0"/>
        <c:majorTickMark val="cross"/>
        <c:minorTickMark val="none"/>
        <c:tickLblPos val="nextTo"/>
        <c:spPr>
          <a:ln w="12700">
            <a:solidFill>
              <a:srgbClr val="D8551E"/>
            </a:solidFill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-779636384"/>
        <c:crosses val="autoZero"/>
        <c:crossBetween val="between"/>
        <c:minorUnit val="3.0000000000000006E-2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3175">
      <a:noFill/>
    </a:ln>
    <a:effectLst/>
  </c:spPr>
  <c:txPr>
    <a:bodyPr/>
    <a:lstStyle/>
    <a:p>
      <a:pPr>
        <a:defRPr sz="75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010463453223195"/>
          <c:y val="2.0492998765604727E-2"/>
          <c:w val="0.58879362366712817"/>
          <c:h val="0.938563971400552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8989C"/>
            </a:solidFill>
          </c:spPr>
          <c:invertIfNegative val="0"/>
          <c:dPt>
            <c:idx val="14"/>
            <c:invertIfNegative val="0"/>
            <c:bubble3D val="0"/>
            <c:spPr>
              <a:solidFill>
                <a:srgbClr val="C0C0C0"/>
              </a:solidFill>
            </c:spPr>
            <c:extLst>
              <c:ext xmlns:c16="http://schemas.microsoft.com/office/drawing/2014/chart" uri="{C3380CC4-5D6E-409C-BE32-E72D297353CC}">
                <c16:uniqueId val="{00000001-922C-4F8E-A21D-42B288A8601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22C-4F8E-A21D-42B288A8601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22C-4F8E-A21D-42B288A8601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922C-4F8E-A21D-42B288A8601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22C-4F8E-A21D-42B288A8601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922C-4F8E-A21D-42B288A8601B}"/>
              </c:ext>
            </c:extLst>
          </c:dPt>
          <c:dLbls>
            <c:dLbl>
              <c:idx val="20"/>
              <c:layout>
                <c:manualLayout>
                  <c:x val="-1.1728985702643712E-4"/>
                  <c:y val="-4.312153721639136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2C-4F8E-A21D-42B288A860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0" tIns="0" rIns="0" bIns="0" anchor="ctr">
                <a:spAutoFit/>
              </a:bodyPr>
              <a:lstStyle/>
              <a:p>
                <a:pPr>
                  <a:defRPr sz="800" b="1">
                    <a:solidFill>
                      <a:srgbClr val="4D565E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'Cuadro2 REM'!$L$50:$L$82</c:f>
              <c:strCache>
                <c:ptCount val="33"/>
                <c:pt idx="0">
                  <c:v>Campeche</c:v>
                </c:pt>
                <c:pt idx="1">
                  <c:v>Tabasco</c:v>
                </c:pt>
                <c:pt idx="2">
                  <c:v>Chiapas</c:v>
                </c:pt>
                <c:pt idx="3">
                  <c:v>Veracruz</c:v>
                </c:pt>
                <c:pt idx="4">
                  <c:v>Morelos</c:v>
                </c:pt>
                <c:pt idx="5">
                  <c:v>Sinaloa</c:v>
                </c:pt>
                <c:pt idx="6">
                  <c:v>San Luis Potosí</c:v>
                </c:pt>
                <c:pt idx="7">
                  <c:v>México</c:v>
                </c:pt>
                <c:pt idx="8">
                  <c:v>Puebla</c:v>
                </c:pt>
                <c:pt idx="9">
                  <c:v>Nayarit</c:v>
                </c:pt>
                <c:pt idx="10">
                  <c:v>Quintana Roo</c:v>
                </c:pt>
                <c:pt idx="11">
                  <c:v>Colima</c:v>
                </c:pt>
                <c:pt idx="12">
                  <c:v>Nuevo León</c:v>
                </c:pt>
                <c:pt idx="13">
                  <c:v>Michoacán</c:v>
                </c:pt>
                <c:pt idx="14">
                  <c:v>Nacional</c:v>
                </c:pt>
                <c:pt idx="15">
                  <c:v>Jalisco</c:v>
                </c:pt>
                <c:pt idx="16">
                  <c:v>Baja California Sur</c:v>
                </c:pt>
                <c:pt idx="17">
                  <c:v>Sonora</c:v>
                </c:pt>
                <c:pt idx="18">
                  <c:v>Tamaulipas</c:v>
                </c:pt>
                <c:pt idx="19">
                  <c:v>Zacatecas</c:v>
                </c:pt>
                <c:pt idx="20">
                  <c:v>Baja California</c:v>
                </c:pt>
                <c:pt idx="21">
                  <c:v>Guanajuato</c:v>
                </c:pt>
                <c:pt idx="22">
                  <c:v>Coahuila</c:v>
                </c:pt>
                <c:pt idx="23">
                  <c:v>Chihuahua</c:v>
                </c:pt>
                <c:pt idx="24">
                  <c:v>Durango</c:v>
                </c:pt>
                <c:pt idx="25">
                  <c:v>Querétaro</c:v>
                </c:pt>
                <c:pt idx="26">
                  <c:v>Ciudad de México</c:v>
                </c:pt>
                <c:pt idx="27">
                  <c:v>Guerrero</c:v>
                </c:pt>
                <c:pt idx="28">
                  <c:v>Tlaxcala</c:v>
                </c:pt>
                <c:pt idx="29">
                  <c:v>Aguascalientes</c:v>
                </c:pt>
                <c:pt idx="30">
                  <c:v>Hidalgo</c:v>
                </c:pt>
                <c:pt idx="31">
                  <c:v>Yucatán</c:v>
                </c:pt>
                <c:pt idx="32">
                  <c:v>Oaxaca</c:v>
                </c:pt>
              </c:strCache>
            </c:strRef>
          </c:cat>
          <c:val>
            <c:numRef>
              <c:f>'Cuadro2 REM'!$M$50:$M$82</c:f>
              <c:numCache>
                <c:formatCode>0.0</c:formatCode>
                <c:ptCount val="33"/>
                <c:pt idx="0">
                  <c:v>-4.1631839030577709</c:v>
                </c:pt>
                <c:pt idx="1">
                  <c:v>-1.4417625299356303</c:v>
                </c:pt>
                <c:pt idx="2">
                  <c:v>-0.51100602726971545</c:v>
                </c:pt>
                <c:pt idx="3">
                  <c:v>2.5834895858533713</c:v>
                </c:pt>
                <c:pt idx="4">
                  <c:v>2.8001827965948678</c:v>
                </c:pt>
                <c:pt idx="5">
                  <c:v>3.9464137054049218</c:v>
                </c:pt>
                <c:pt idx="6">
                  <c:v>4.0218387890063525</c:v>
                </c:pt>
                <c:pt idx="7">
                  <c:v>4.7791822364144281</c:v>
                </c:pt>
                <c:pt idx="8">
                  <c:v>4.7938780566140622</c:v>
                </c:pt>
                <c:pt idx="9">
                  <c:v>5.3801065384419928</c:v>
                </c:pt>
                <c:pt idx="10">
                  <c:v>5.6422469909157513</c:v>
                </c:pt>
                <c:pt idx="11">
                  <c:v>5.8123924890864203</c:v>
                </c:pt>
                <c:pt idx="12">
                  <c:v>5.9398183597772629</c:v>
                </c:pt>
                <c:pt idx="13">
                  <c:v>5.9964456860847548</c:v>
                </c:pt>
                <c:pt idx="14">
                  <c:v>6.0968198693792885</c:v>
                </c:pt>
                <c:pt idx="15">
                  <c:v>6.1316644572111585</c:v>
                </c:pt>
                <c:pt idx="16">
                  <c:v>6.2170956017283601</c:v>
                </c:pt>
                <c:pt idx="17">
                  <c:v>6.300582494277478</c:v>
                </c:pt>
                <c:pt idx="18">
                  <c:v>6.5567774357007806</c:v>
                </c:pt>
                <c:pt idx="19">
                  <c:v>6.6458467510963573</c:v>
                </c:pt>
                <c:pt idx="20">
                  <c:v>6.7157025660834933</c:v>
                </c:pt>
                <c:pt idx="21">
                  <c:v>6.8764894714477407</c:v>
                </c:pt>
                <c:pt idx="22">
                  <c:v>7.0043173371420693</c:v>
                </c:pt>
                <c:pt idx="23">
                  <c:v>7.0995644157578965</c:v>
                </c:pt>
                <c:pt idx="24">
                  <c:v>7.206184330962742</c:v>
                </c:pt>
                <c:pt idx="25">
                  <c:v>7.958884087100131</c:v>
                </c:pt>
                <c:pt idx="26">
                  <c:v>8.197288116164799</c:v>
                </c:pt>
                <c:pt idx="27">
                  <c:v>8.2905630705688793</c:v>
                </c:pt>
                <c:pt idx="28">
                  <c:v>8.3637119171782359</c:v>
                </c:pt>
                <c:pt idx="29">
                  <c:v>8.4856229135959325</c:v>
                </c:pt>
                <c:pt idx="30">
                  <c:v>8.8954621703730652</c:v>
                </c:pt>
                <c:pt idx="31">
                  <c:v>9.5198534783079651</c:v>
                </c:pt>
                <c:pt idx="32">
                  <c:v>12.749529026380287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22C-4F8E-A21D-42B288A860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-779642368"/>
        <c:axId val="-779643456"/>
      </c:barChart>
      <c:catAx>
        <c:axId val="-779642368"/>
        <c:scaling>
          <c:orientation val="minMax"/>
        </c:scaling>
        <c:delete val="0"/>
        <c:axPos val="l"/>
        <c:numFmt formatCode="General" sourceLinked="0"/>
        <c:majorTickMark val="cross"/>
        <c:minorTickMark val="none"/>
        <c:tickLblPos val="low"/>
        <c:spPr>
          <a:ln w="9525">
            <a:solidFill>
              <a:srgbClr val="C0C0C0"/>
            </a:solidFill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-779643456"/>
        <c:crossesAt val="0"/>
        <c:auto val="1"/>
        <c:lblAlgn val="ctr"/>
        <c:lblOffset val="100"/>
        <c:noMultiLvlLbl val="0"/>
      </c:catAx>
      <c:valAx>
        <c:axId val="-779643456"/>
        <c:scaling>
          <c:orientation val="minMax"/>
          <c:max val="12"/>
          <c:min val="-6"/>
        </c:scaling>
        <c:delete val="0"/>
        <c:axPos val="b"/>
        <c:numFmt formatCode="#,##0.0" sourceLinked="0"/>
        <c:majorTickMark val="cross"/>
        <c:minorTickMark val="none"/>
        <c:tickLblPos val="nextTo"/>
        <c:spPr>
          <a:ln w="12700">
            <a:solidFill>
              <a:srgbClr val="D8551E"/>
            </a:solidFill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-779642368"/>
        <c:crosses val="autoZero"/>
        <c:crossBetween val="between"/>
        <c:majorUnit val="6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3175">
      <a:noFill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422936972059777"/>
          <c:y val="2.0405952137318831E-2"/>
          <c:w val="0.57488044184535403"/>
          <c:h val="0.9393518359893359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8989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800" b="1" i="0" u="none" strike="noStrike" kern="1200" baseline="0">
                    <a:solidFill>
                      <a:srgbClr val="4D565E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'Cuadro2 REM'!$L$88:$L$119</c:f>
              <c:strCache>
                <c:ptCount val="32"/>
                <c:pt idx="0">
                  <c:v>Campeche</c:v>
                </c:pt>
                <c:pt idx="1">
                  <c:v>Tabasco</c:v>
                </c:pt>
                <c:pt idx="2">
                  <c:v>Chiapas</c:v>
                </c:pt>
                <c:pt idx="3">
                  <c:v>Morelos</c:v>
                </c:pt>
                <c:pt idx="4">
                  <c:v>Colima</c:v>
                </c:pt>
                <c:pt idx="5">
                  <c:v>Nayarit</c:v>
                </c:pt>
                <c:pt idx="6">
                  <c:v>Baja California Sur</c:v>
                </c:pt>
                <c:pt idx="7">
                  <c:v>Tlaxcala</c:v>
                </c:pt>
                <c:pt idx="8">
                  <c:v>Zacatecas</c:v>
                </c:pt>
                <c:pt idx="9">
                  <c:v>Quintana Roo</c:v>
                </c:pt>
                <c:pt idx="10">
                  <c:v>San Luis Potosí</c:v>
                </c:pt>
                <c:pt idx="11">
                  <c:v>Durango</c:v>
                </c:pt>
                <c:pt idx="12">
                  <c:v>Sinaloa</c:v>
                </c:pt>
                <c:pt idx="13">
                  <c:v>Aguascalientes</c:v>
                </c:pt>
                <c:pt idx="14">
                  <c:v>Veracruz</c:v>
                </c:pt>
                <c:pt idx="15">
                  <c:v>Guerrero</c:v>
                </c:pt>
                <c:pt idx="16">
                  <c:v>Hidalgo</c:v>
                </c:pt>
                <c:pt idx="17">
                  <c:v>Yucatán</c:v>
                </c:pt>
                <c:pt idx="18">
                  <c:v>Michoacán</c:v>
                </c:pt>
                <c:pt idx="19">
                  <c:v>Puebla</c:v>
                </c:pt>
                <c:pt idx="20">
                  <c:v>Sonora</c:v>
                </c:pt>
                <c:pt idx="21">
                  <c:v>Querétaro</c:v>
                </c:pt>
                <c:pt idx="22">
                  <c:v>Tamaulipas</c:v>
                </c:pt>
                <c:pt idx="23">
                  <c:v>Coahuila</c:v>
                </c:pt>
                <c:pt idx="24">
                  <c:v>Oaxaca</c:v>
                </c:pt>
                <c:pt idx="25">
                  <c:v>Baja California</c:v>
                </c:pt>
                <c:pt idx="26">
                  <c:v>Chihuahua</c:v>
                </c:pt>
                <c:pt idx="27">
                  <c:v>Guanajuato</c:v>
                </c:pt>
                <c:pt idx="28">
                  <c:v>Nuevo León</c:v>
                </c:pt>
                <c:pt idx="29">
                  <c:v>Jalisco</c:v>
                </c:pt>
                <c:pt idx="30">
                  <c:v>México</c:v>
                </c:pt>
                <c:pt idx="31">
                  <c:v>Ciudad de México</c:v>
                </c:pt>
              </c:strCache>
            </c:strRef>
          </c:cat>
          <c:val>
            <c:numRef>
              <c:f>'Cuadro2 REM'!$M$88:$M$119</c:f>
              <c:numCache>
                <c:formatCode>0.00</c:formatCode>
                <c:ptCount val="32"/>
                <c:pt idx="0">
                  <c:v>-3.3892871038914786E-2</c:v>
                </c:pt>
                <c:pt idx="1">
                  <c:v>-2.1222212639024123E-2</c:v>
                </c:pt>
                <c:pt idx="2">
                  <c:v>-1.1467718090293308E-2</c:v>
                </c:pt>
                <c:pt idx="3">
                  <c:v>2.9529085181623036E-2</c:v>
                </c:pt>
                <c:pt idx="4">
                  <c:v>3.8125299255871804E-2</c:v>
                </c:pt>
                <c:pt idx="5">
                  <c:v>4.2713695221247155E-2</c:v>
                </c:pt>
                <c:pt idx="6">
                  <c:v>4.8715276427936542E-2</c:v>
                </c:pt>
                <c:pt idx="7">
                  <c:v>5.6167409960476929E-2</c:v>
                </c:pt>
                <c:pt idx="8">
                  <c:v>6.116587442667594E-2</c:v>
                </c:pt>
                <c:pt idx="9">
                  <c:v>8.6332363504877857E-2</c:v>
                </c:pt>
                <c:pt idx="10">
                  <c:v>8.945346246029405E-2</c:v>
                </c:pt>
                <c:pt idx="11">
                  <c:v>8.9782462454305809E-2</c:v>
                </c:pt>
                <c:pt idx="12">
                  <c:v>9.5754178635589007E-2</c:v>
                </c:pt>
                <c:pt idx="13">
                  <c:v>0.11266434869446403</c:v>
                </c:pt>
                <c:pt idx="14">
                  <c:v>0.11598927011394178</c:v>
                </c:pt>
                <c:pt idx="15">
                  <c:v>0.12834764015521025</c:v>
                </c:pt>
                <c:pt idx="16">
                  <c:v>0.13711028757650517</c:v>
                </c:pt>
                <c:pt idx="17">
                  <c:v>0.15659191233493733</c:v>
                </c:pt>
                <c:pt idx="18">
                  <c:v>0.16829844046608741</c:v>
                </c:pt>
                <c:pt idx="19">
                  <c:v>0.17115497341258973</c:v>
                </c:pt>
                <c:pt idx="20">
                  <c:v>0.18077522406622509</c:v>
                </c:pt>
                <c:pt idx="21">
                  <c:v>0.1838974466780747</c:v>
                </c:pt>
                <c:pt idx="22">
                  <c:v>0.21589869719223542</c:v>
                </c:pt>
                <c:pt idx="23">
                  <c:v>0.21959710218100739</c:v>
                </c:pt>
                <c:pt idx="24">
                  <c:v>0.23814410917644044</c:v>
                </c:pt>
                <c:pt idx="25">
                  <c:v>0.27694968325669633</c:v>
                </c:pt>
                <c:pt idx="26">
                  <c:v>0.28203016362630784</c:v>
                </c:pt>
                <c:pt idx="27">
                  <c:v>0.29415743499440083</c:v>
                </c:pt>
                <c:pt idx="28">
                  <c:v>0.40430212734764925</c:v>
                </c:pt>
                <c:pt idx="29">
                  <c:v>0.43023319853147357</c:v>
                </c:pt>
                <c:pt idx="30">
                  <c:v>0.51428956288139227</c:v>
                </c:pt>
                <c:pt idx="31">
                  <c:v>1.2952319409329895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C6-497C-8ABE-5D16DBBC5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-779636384"/>
        <c:axId val="-779636928"/>
      </c:barChart>
      <c:catAx>
        <c:axId val="-779636384"/>
        <c:scaling>
          <c:orientation val="minMax"/>
        </c:scaling>
        <c:delete val="0"/>
        <c:axPos val="l"/>
        <c:numFmt formatCode="General" sourceLinked="0"/>
        <c:majorTickMark val="cross"/>
        <c:minorTickMark val="none"/>
        <c:tickLblPos val="low"/>
        <c:spPr>
          <a:ln w="9525">
            <a:solidFill>
              <a:srgbClr val="C0C0C0"/>
            </a:solidFill>
          </a:ln>
        </c:spPr>
        <c:txPr>
          <a:bodyPr rot="0" anchor="ctr" anchorCtr="0"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-779636928"/>
        <c:crossesAt val="0"/>
        <c:auto val="1"/>
        <c:lblAlgn val="ctr"/>
        <c:lblOffset val="100"/>
        <c:noMultiLvlLbl val="0"/>
      </c:catAx>
      <c:valAx>
        <c:axId val="-779636928"/>
        <c:scaling>
          <c:orientation val="minMax"/>
          <c:max val="1.4"/>
          <c:min val="-0.4"/>
        </c:scaling>
        <c:delete val="0"/>
        <c:axPos val="b"/>
        <c:numFmt formatCode="#,##0.00" sourceLinked="0"/>
        <c:majorTickMark val="cross"/>
        <c:minorTickMark val="none"/>
        <c:tickLblPos val="nextTo"/>
        <c:spPr>
          <a:ln w="12700">
            <a:solidFill>
              <a:srgbClr val="D8551E"/>
            </a:solidFill>
          </a:ln>
        </c:spPr>
        <c:txPr>
          <a:bodyPr/>
          <a:lstStyle/>
          <a:p>
            <a:pPr>
              <a:defRPr sz="800">
                <a:solidFill>
                  <a:srgbClr val="4D565E"/>
                </a:solidFill>
              </a:defRPr>
            </a:pPr>
            <a:endParaRPr lang="es-MX"/>
          </a:p>
        </c:txPr>
        <c:crossAx val="-779636384"/>
        <c:crosses val="autoZero"/>
        <c:crossBetween val="between"/>
        <c:majorUnit val="0.4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3175">
      <a:noFill/>
    </a:ln>
    <a:effectLst/>
  </c:spPr>
  <c:txPr>
    <a:bodyPr/>
    <a:lstStyle/>
    <a:p>
      <a:pPr>
        <a:defRPr sz="75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FF36E69C3249968D779353D3735D" ma:contentTypeVersion="6" ma:contentTypeDescription="Create a new document." ma:contentTypeScope="" ma:versionID="6b14e35f4bd9dc64c44530e09447803b">
  <xsd:schema xmlns:xsd="http://www.w3.org/2001/XMLSchema" xmlns:xs="http://www.w3.org/2001/XMLSchema" xmlns:p="http://schemas.microsoft.com/office/2006/metadata/properties" xmlns:ns2="a86ee325-94b0-4f30-847e-6646843bcaf7" xmlns:ns3="1ba99075-95a4-4d57-a0ef-fc2aa316c235" targetNamespace="http://schemas.microsoft.com/office/2006/metadata/properties" ma:root="true" ma:fieldsID="cdb5d3d03d9352702aa1e9fb5abc3dd0" ns2:_="" ns3:_="">
    <xsd:import namespace="a86ee325-94b0-4f30-847e-6646843bcaf7"/>
    <xsd:import namespace="1ba99075-95a4-4d57-a0ef-fc2aa316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325-94b0-4f30-847e-6646843b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9075-95a4-4d57-a0ef-fc2aa316c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1E3AB-ACD0-4968-82D0-A6116F0EA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76549-8141-493E-8581-99FBE2A07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71B76D-B909-4141-A56D-EF6FAC9C9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5ADD0-943B-4A9B-A2C8-6C940263C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ee325-94b0-4f30-847e-6646843bcaf7"/>
    <ds:schemaRef ds:uri="1ba99075-95a4-4d57-a0ef-fc2aa316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C:\Users\hectorm.chavez\Documents\Plantillas personalizadas de Office\Plantilla oficial Boletín-Prensa.dotx</Template>
  <TotalTime>0</TotalTime>
  <Pages>6</Pages>
  <Words>1885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Mediciones Trimestrales de los Puestos de Trabajo y sus Remuneraciones por Entidad Federativa (MTPTREF)</vt:lpstr>
    </vt:vector>
  </TitlesOfParts>
  <Manager>INEGI</Manager>
  <Company>INEGI</Company>
  <LinksUpToDate>false</LinksUpToDate>
  <CharactersWithSpaces>12230</CharactersWithSpaces>
  <SharedDoc>false</SharedDoc>
  <HLinks>
    <vt:vector size="12" baseType="variant"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https://www.inegi.org.mx/programas/inpc/2018/</vt:lpwstr>
      </vt:variant>
      <vt:variant>
        <vt:lpwstr/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https://www.inegi.org.mx/programas/inpc/2018/default.html</vt:lpwstr>
      </vt:variant>
      <vt:variant>
        <vt:lpwstr>Herramientas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Mediciones Trimestrales de los Puestos de Trabajo y sus Remuneraciones por Entidad Federativa (MTPTREF)</dc:title>
  <dc:subject>Mediciones Trimestrales de los Puestos de Trabajo y sus Remuneraciones por Entidad Federativa (MTPTREF)</dc:subject>
  <dc:creator>INEGI</dc:creator>
  <cp:keywords>MTPTREF</cp:keywords>
  <dc:description>Puestos de Trabajo Remunerados por Entidad Federativa. 
Remuneraciones de Asalariados Trimestrales por Entidad Federativa.</dc:description>
  <cp:lastModifiedBy>Renata Córdova Olano</cp:lastModifiedBy>
  <cp:revision>2</cp:revision>
  <cp:lastPrinted>2025-09-01T21:33:00Z</cp:lastPrinted>
  <dcterms:created xsi:type="dcterms:W3CDTF">2025-09-04T13:47:00Z</dcterms:created>
  <dcterms:modified xsi:type="dcterms:W3CDTF">2025-09-04T13:47:00Z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0x0101008E8FFF36E69C3249968D779353D3735D</vt:lpwstr>
  </property>
  <property fmtid="{D5CDD505-2E9C-101B-9397-08002B2CF9AE}" pid="3" name="GrammarlyDocumentId">
    <vt:lpwstr>2f490c92-6b7e-48c4-98a1-b71ae3693719</vt:lpwstr>
  </property>
</Properties>
</file>